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DA" w:rsidRPr="003A6BDA" w:rsidRDefault="003A6BDA" w:rsidP="003A6BDA">
      <w:pPr>
        <w:shd w:val="clear" w:color="auto" w:fill="FFFFFF"/>
        <w:spacing w:before="100" w:beforeAutospacing="1" w:after="100" w:afterAutospacing="1" w:line="288" w:lineRule="atLeast"/>
        <w:textAlignment w:val="center"/>
        <w:outlineLvl w:val="0"/>
        <w:rPr>
          <w:rFonts w:ascii="Arial" w:eastAsia="Times New Roman" w:hAnsi="Arial" w:cs="Arial"/>
          <w:color w:val="9F1919"/>
          <w:kern w:val="36"/>
          <w:sz w:val="52"/>
          <w:szCs w:val="52"/>
          <w:lang w:eastAsia="ru-RU"/>
        </w:rPr>
      </w:pPr>
      <w:r w:rsidRPr="003A6BDA">
        <w:rPr>
          <w:rFonts w:ascii="Arial" w:eastAsia="Times New Roman" w:hAnsi="Arial" w:cs="Arial"/>
          <w:color w:val="9F1919"/>
          <w:kern w:val="36"/>
          <w:sz w:val="52"/>
          <w:szCs w:val="52"/>
          <w:lang w:eastAsia="ru-RU"/>
        </w:rPr>
        <w:t>Аудит эффективности использования средств на развитие ИТ</w:t>
      </w:r>
    </w:p>
    <w:p w:rsidR="003A6BDA" w:rsidRPr="003A6BDA" w:rsidRDefault="003A6BDA" w:rsidP="003A6BDA">
      <w:pPr>
        <w:shd w:val="clear" w:color="auto" w:fill="FFFFFF"/>
        <w:spacing w:after="0" w:line="240" w:lineRule="auto"/>
        <w:rPr>
          <w:rFonts w:ascii="Arial" w:eastAsia="Times New Roman" w:hAnsi="Arial" w:cs="Arial"/>
          <w:color w:val="000000"/>
          <w:sz w:val="2"/>
          <w:szCs w:val="2"/>
          <w:lang w:eastAsia="ru-RU"/>
        </w:rPr>
      </w:pPr>
      <w:r w:rsidRPr="003A6BDA">
        <w:rPr>
          <w:rFonts w:ascii="Arial" w:eastAsia="Times New Roman" w:hAnsi="Arial" w:cs="Arial"/>
          <w:color w:val="000000"/>
          <w:sz w:val="2"/>
          <w:szCs w:val="2"/>
          <w:lang w:eastAsia="ru-RU"/>
        </w:rPr>
        <w:t> </w:t>
      </w:r>
    </w:p>
    <w:p w:rsidR="003A6BDA" w:rsidRPr="003A6BDA" w:rsidRDefault="003A6BDA" w:rsidP="003A6BDA">
      <w:pPr>
        <w:shd w:val="clear" w:color="auto" w:fill="FFFFFF"/>
        <w:spacing w:after="0" w:line="240" w:lineRule="auto"/>
        <w:jc w:val="right"/>
        <w:textAlignment w:val="center"/>
        <w:rPr>
          <w:rFonts w:ascii="Times New Roman" w:eastAsia="Times New Roman" w:hAnsi="Times New Roman" w:cs="Times New Roman"/>
          <w:color w:val="DDDDDD"/>
          <w:sz w:val="19"/>
          <w:szCs w:val="19"/>
          <w:u w:val="single"/>
          <w:lang w:eastAsia="ru-RU"/>
        </w:rPr>
      </w:pPr>
      <w:r w:rsidRPr="003A6BDA">
        <w:rPr>
          <w:rFonts w:ascii="Arial" w:eastAsia="Times New Roman" w:hAnsi="Arial" w:cs="Arial"/>
          <w:color w:val="000000"/>
          <w:sz w:val="19"/>
          <w:szCs w:val="19"/>
          <w:lang w:eastAsia="ru-RU"/>
        </w:rPr>
        <w:fldChar w:fldCharType="begin"/>
      </w:r>
      <w:r w:rsidRPr="003A6BDA">
        <w:rPr>
          <w:rFonts w:ascii="Arial" w:eastAsia="Times New Roman" w:hAnsi="Arial" w:cs="Arial"/>
          <w:color w:val="000000"/>
          <w:sz w:val="19"/>
          <w:szCs w:val="19"/>
          <w:lang w:eastAsia="ru-RU"/>
        </w:rPr>
        <w:instrText xml:space="preserve"> HYPERLINK "https://rufincontrol.ru/online/whitepages/225179/" </w:instrText>
      </w:r>
      <w:r w:rsidRPr="003A6BDA">
        <w:rPr>
          <w:rFonts w:ascii="Arial" w:eastAsia="Times New Roman" w:hAnsi="Arial" w:cs="Arial"/>
          <w:color w:val="000000"/>
          <w:sz w:val="19"/>
          <w:szCs w:val="19"/>
          <w:lang w:eastAsia="ru-RU"/>
        </w:rPr>
        <w:fldChar w:fldCharType="separate"/>
      </w:r>
    </w:p>
    <w:p w:rsidR="003A6BDA" w:rsidRPr="003A6BDA" w:rsidRDefault="003A6BDA" w:rsidP="00603D3F">
      <w:pPr>
        <w:shd w:val="clear" w:color="auto" w:fill="FFFFFF"/>
        <w:spacing w:after="0" w:line="240" w:lineRule="auto"/>
        <w:jc w:val="right"/>
        <w:textAlignment w:val="center"/>
        <w:rPr>
          <w:rFonts w:ascii="Times New Roman" w:eastAsia="Times New Roman" w:hAnsi="Times New Roman" w:cs="Times New Roman"/>
          <w:sz w:val="24"/>
          <w:szCs w:val="24"/>
          <w:lang w:eastAsia="ru-RU"/>
        </w:rPr>
      </w:pPr>
      <w:r w:rsidRPr="003A6BDA">
        <w:rPr>
          <w:rFonts w:ascii="Arial" w:eastAsia="Times New Roman" w:hAnsi="Arial" w:cs="Arial"/>
          <w:noProof/>
          <w:color w:val="DDDDDD"/>
          <w:sz w:val="19"/>
          <w:szCs w:val="19"/>
          <w:lang w:eastAsia="ru-RU"/>
        </w:rPr>
        <w:drawing>
          <wp:inline distT="0" distB="0" distL="0" distR="0" wp14:anchorId="06E9FD6B" wp14:editId="59ABB60E">
            <wp:extent cx="1238250" cy="1238250"/>
            <wp:effectExtent l="0" t="0" r="0" b="0"/>
            <wp:docPr id="4" name="Рисунок 4" descr="19965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965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Pr="003A6BDA">
        <w:rPr>
          <w:rFonts w:ascii="Arial" w:eastAsia="Times New Roman" w:hAnsi="Arial" w:cs="Arial"/>
          <w:color w:val="000000"/>
          <w:sz w:val="19"/>
          <w:szCs w:val="19"/>
          <w:lang w:eastAsia="ru-RU"/>
        </w:rPr>
        <w:fldChar w:fldCharType="end"/>
      </w:r>
      <w:r w:rsidR="00603D3F">
        <w:rPr>
          <w:rFonts w:ascii="Arial" w:eastAsia="Times New Roman" w:hAnsi="Arial" w:cs="Arial"/>
          <w:color w:val="000000"/>
          <w:sz w:val="19"/>
          <w:szCs w:val="19"/>
          <w:lang w:eastAsia="ru-RU"/>
        </w:rPr>
        <w:t xml:space="preserve">              </w:t>
      </w:r>
      <w:r w:rsidR="00603D3F" w:rsidRPr="003A6BDA">
        <w:rPr>
          <w:rFonts w:ascii="Arial" w:eastAsia="Times New Roman" w:hAnsi="Arial" w:cs="Arial"/>
          <w:color w:val="000000"/>
          <w:sz w:val="19"/>
          <w:szCs w:val="19"/>
          <w:lang w:eastAsia="ru-RU"/>
        </w:rPr>
        <w:t xml:space="preserve"> </w:t>
      </w:r>
      <w:r w:rsidRPr="003A6BDA">
        <w:rPr>
          <w:rFonts w:ascii="Arial" w:eastAsia="Times New Roman" w:hAnsi="Arial" w:cs="Arial"/>
          <w:color w:val="000000"/>
          <w:sz w:val="19"/>
          <w:szCs w:val="19"/>
          <w:lang w:eastAsia="ru-RU"/>
        </w:rPr>
        <w:fldChar w:fldCharType="begin"/>
      </w:r>
      <w:r w:rsidRPr="003A6BDA">
        <w:rPr>
          <w:rFonts w:ascii="Arial" w:eastAsia="Times New Roman" w:hAnsi="Arial" w:cs="Arial"/>
          <w:color w:val="000000"/>
          <w:sz w:val="19"/>
          <w:szCs w:val="19"/>
          <w:lang w:eastAsia="ru-RU"/>
        </w:rPr>
        <w:instrText xml:space="preserve"> HYPERLINK "https://rufincontrol.ru/online/whitepages/417298/" </w:instrText>
      </w:r>
      <w:r w:rsidRPr="003A6BDA">
        <w:rPr>
          <w:rFonts w:ascii="Arial" w:eastAsia="Times New Roman" w:hAnsi="Arial" w:cs="Arial"/>
          <w:color w:val="000000"/>
          <w:sz w:val="19"/>
          <w:szCs w:val="19"/>
          <w:lang w:eastAsia="ru-RU"/>
        </w:rPr>
        <w:fldChar w:fldCharType="separate"/>
      </w:r>
      <w:r w:rsidRPr="003A6BDA">
        <w:rPr>
          <w:rFonts w:ascii="Arial" w:eastAsia="Times New Roman" w:hAnsi="Arial" w:cs="Arial"/>
          <w:noProof/>
          <w:color w:val="DDDDDD"/>
          <w:sz w:val="19"/>
          <w:szCs w:val="19"/>
          <w:lang w:eastAsia="ru-RU"/>
        </w:rPr>
        <w:drawing>
          <wp:inline distT="0" distB="0" distL="0" distR="0" wp14:anchorId="48B630AD" wp14:editId="10762C33">
            <wp:extent cx="1238250" cy="1238250"/>
            <wp:effectExtent l="0" t="0" r="0" b="0"/>
            <wp:docPr id="3" name="Рисунок 3" descr="19963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963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3A6BDA" w:rsidRPr="003A6BDA" w:rsidRDefault="00603D3F" w:rsidP="00603D3F">
      <w:pPr>
        <w:shd w:val="clear" w:color="auto" w:fill="FFFFFF"/>
        <w:spacing w:after="0" w:line="240" w:lineRule="auto"/>
        <w:jc w:val="both"/>
        <w:textAlignment w:val="center"/>
        <w:rPr>
          <w:rFonts w:ascii="Arial" w:eastAsia="Times New Roman" w:hAnsi="Arial" w:cs="Arial"/>
          <w:color w:val="000000"/>
          <w:sz w:val="19"/>
          <w:szCs w:val="19"/>
          <w:lang w:eastAsia="ru-RU"/>
        </w:rPr>
      </w:pPr>
      <w:r w:rsidRPr="00603D3F">
        <w:rPr>
          <w:rFonts w:ascii="Arial" w:eastAsia="Times New Roman" w:hAnsi="Arial" w:cs="Arial"/>
          <w:color w:val="000000"/>
          <w:sz w:val="19"/>
          <w:szCs w:val="19"/>
          <w:lang w:eastAsia="ru-RU"/>
        </w:rPr>
        <w:t xml:space="preserve">                                                                                           </w:t>
      </w:r>
      <w:r w:rsidRPr="00603D3F">
        <w:rPr>
          <w:rFonts w:ascii="Arial" w:eastAsia="Times New Roman" w:hAnsi="Arial" w:cs="Arial"/>
          <w:color w:val="000000"/>
          <w:sz w:val="19"/>
          <w:szCs w:val="19"/>
          <w:u w:val="single"/>
          <w:lang w:eastAsia="ru-RU"/>
        </w:rPr>
        <w:t>Л. И. Балашева</w:t>
      </w:r>
      <w:r w:rsidRPr="00603D3F">
        <w:rPr>
          <w:rFonts w:ascii="Arial" w:eastAsia="Times New Roman" w:hAnsi="Arial" w:cs="Arial"/>
          <w:color w:val="000000"/>
          <w:sz w:val="19"/>
          <w:szCs w:val="19"/>
          <w:lang w:eastAsia="ru-RU"/>
        </w:rPr>
        <w:t xml:space="preserve">                             </w:t>
      </w:r>
      <w:r w:rsidR="003A6BDA" w:rsidRPr="003A6BDA">
        <w:rPr>
          <w:rFonts w:ascii="Arial" w:eastAsia="Times New Roman" w:hAnsi="Arial" w:cs="Arial"/>
          <w:color w:val="000000"/>
          <w:sz w:val="19"/>
          <w:szCs w:val="19"/>
          <w:u w:val="single"/>
          <w:lang w:eastAsia="ru-RU"/>
        </w:rPr>
        <w:t xml:space="preserve">Ю. В. </w:t>
      </w:r>
      <w:proofErr w:type="spellStart"/>
      <w:r w:rsidR="003A6BDA" w:rsidRPr="003A6BDA">
        <w:rPr>
          <w:rFonts w:ascii="Arial" w:eastAsia="Times New Roman" w:hAnsi="Arial" w:cs="Arial"/>
          <w:color w:val="000000"/>
          <w:sz w:val="19"/>
          <w:szCs w:val="19"/>
          <w:u w:val="single"/>
          <w:lang w:eastAsia="ru-RU"/>
        </w:rPr>
        <w:t>Томилко</w:t>
      </w:r>
      <w:proofErr w:type="spellEnd"/>
      <w:r w:rsidR="003A6BDA" w:rsidRPr="003A6BDA">
        <w:rPr>
          <w:rFonts w:ascii="Arial" w:eastAsia="Times New Roman" w:hAnsi="Arial" w:cs="Arial"/>
          <w:color w:val="000000"/>
          <w:sz w:val="19"/>
          <w:szCs w:val="19"/>
          <w:lang w:eastAsia="ru-RU"/>
        </w:rPr>
        <w:fldChar w:fldCharType="end"/>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31"/>
          <w:szCs w:val="31"/>
          <w:lang w:eastAsia="ru-RU"/>
        </w:rPr>
      </w:pPr>
      <w:r w:rsidRPr="003A6BDA">
        <w:rPr>
          <w:rFonts w:ascii="Arial" w:eastAsia="Times New Roman" w:hAnsi="Arial" w:cs="Arial"/>
          <w:color w:val="000000"/>
          <w:sz w:val="31"/>
          <w:szCs w:val="31"/>
          <w:lang w:eastAsia="ru-RU"/>
        </w:rPr>
        <w:t xml:space="preserve">В июне 2022 года Счетная палата РФ завершила экспертно-аналитическое мероприятие «Оценка текущего состояния федеральных государственных информационных систем с точки зрения перспектив </w:t>
      </w:r>
      <w:proofErr w:type="spellStart"/>
      <w:r w:rsidRPr="003A6BDA">
        <w:rPr>
          <w:rFonts w:ascii="Arial" w:eastAsia="Times New Roman" w:hAnsi="Arial" w:cs="Arial"/>
          <w:color w:val="000000"/>
          <w:sz w:val="31"/>
          <w:szCs w:val="31"/>
          <w:lang w:eastAsia="ru-RU"/>
        </w:rPr>
        <w:t>цифровизации</w:t>
      </w:r>
      <w:proofErr w:type="spellEnd"/>
      <w:r w:rsidRPr="003A6BDA">
        <w:rPr>
          <w:rFonts w:ascii="Arial" w:eastAsia="Times New Roman" w:hAnsi="Arial" w:cs="Arial"/>
          <w:color w:val="000000"/>
          <w:sz w:val="31"/>
          <w:szCs w:val="31"/>
          <w:lang w:eastAsia="ru-RU"/>
        </w:rPr>
        <w:t xml:space="preserve"> государственного управления». Главный вывод — существующие механизмы создания, развития и эксплуатации государственных информационных систем несовершенны и требуют доработки (</w:t>
      </w:r>
      <w:r w:rsidRPr="00603D3F">
        <w:rPr>
          <w:rFonts w:ascii="Arial" w:eastAsia="Times New Roman" w:hAnsi="Arial" w:cs="Arial"/>
          <w:sz w:val="31"/>
          <w:szCs w:val="31"/>
          <w:u w:val="single"/>
          <w:lang w:eastAsia="ru-RU"/>
        </w:rPr>
        <w:t>Бюллетень Счетной палаты № 8 (297) 2022 год</w:t>
      </w:r>
      <w:r w:rsidRPr="003A6BDA">
        <w:rPr>
          <w:rFonts w:ascii="Arial" w:eastAsia="Times New Roman" w:hAnsi="Arial" w:cs="Arial"/>
          <w:color w:val="000000"/>
          <w:sz w:val="31"/>
          <w:szCs w:val="31"/>
          <w:lang w:eastAsia="ru-RU"/>
        </w:rPr>
        <w:t>). Ряд региональных и муниципальных контрольно-счетных органов сейчас проводят аналогичные мероприятия. В феврале 2023 года Контрольно-счетная палата Краснодара завершила аудит эффективности использования средств местного бюджета, выделенных на приобретение, создание, модернизацию и сопровождение информационных систем и программных продуктов. Выводы представлены в статье </w:t>
      </w:r>
      <w:r w:rsidRPr="003A6BDA">
        <w:rPr>
          <w:rFonts w:ascii="inherit" w:eastAsia="Times New Roman" w:hAnsi="inherit" w:cs="Arial"/>
          <w:color w:val="000000"/>
          <w:sz w:val="31"/>
          <w:szCs w:val="31"/>
          <w:lang w:eastAsia="ru-RU"/>
        </w:rPr>
        <w:t xml:space="preserve">Людмилы Ивановны </w:t>
      </w:r>
      <w:proofErr w:type="spellStart"/>
      <w:r w:rsidRPr="003A6BDA">
        <w:rPr>
          <w:rFonts w:ascii="inherit" w:eastAsia="Times New Roman" w:hAnsi="inherit" w:cs="Arial"/>
          <w:color w:val="000000"/>
          <w:sz w:val="31"/>
          <w:szCs w:val="31"/>
          <w:lang w:eastAsia="ru-RU"/>
        </w:rPr>
        <w:t>Балашевой</w:t>
      </w:r>
      <w:proofErr w:type="spellEnd"/>
      <w:r w:rsidRPr="003A6BDA">
        <w:rPr>
          <w:rFonts w:ascii="Arial" w:eastAsia="Times New Roman" w:hAnsi="Arial" w:cs="Arial"/>
          <w:color w:val="000000"/>
          <w:sz w:val="31"/>
          <w:szCs w:val="31"/>
          <w:lang w:eastAsia="ru-RU"/>
        </w:rPr>
        <w:t xml:space="preserve">, председателя </w:t>
      </w:r>
      <w:proofErr w:type="gramStart"/>
      <w:r w:rsidRPr="003A6BDA">
        <w:rPr>
          <w:rFonts w:ascii="Arial" w:eastAsia="Times New Roman" w:hAnsi="Arial" w:cs="Arial"/>
          <w:color w:val="000000"/>
          <w:sz w:val="31"/>
          <w:szCs w:val="31"/>
          <w:lang w:eastAsia="ru-RU"/>
        </w:rPr>
        <w:t>КСП  муниципального</w:t>
      </w:r>
      <w:proofErr w:type="gramEnd"/>
      <w:r w:rsidRPr="003A6BDA">
        <w:rPr>
          <w:rFonts w:ascii="Arial" w:eastAsia="Times New Roman" w:hAnsi="Arial" w:cs="Arial"/>
          <w:color w:val="000000"/>
          <w:sz w:val="31"/>
          <w:szCs w:val="31"/>
          <w:lang w:eastAsia="ru-RU"/>
        </w:rPr>
        <w:t xml:space="preserve"> образования город Краснодар, и </w:t>
      </w:r>
      <w:r w:rsidRPr="003A6BDA">
        <w:rPr>
          <w:rFonts w:ascii="inherit" w:eastAsia="Times New Roman" w:hAnsi="inherit" w:cs="Arial"/>
          <w:color w:val="000000"/>
          <w:sz w:val="31"/>
          <w:szCs w:val="31"/>
          <w:lang w:eastAsia="ru-RU"/>
        </w:rPr>
        <w:t xml:space="preserve">Юлии Викторовны </w:t>
      </w:r>
      <w:proofErr w:type="spellStart"/>
      <w:r w:rsidRPr="003A6BDA">
        <w:rPr>
          <w:rFonts w:ascii="inherit" w:eastAsia="Times New Roman" w:hAnsi="inherit" w:cs="Arial"/>
          <w:color w:val="000000"/>
          <w:sz w:val="31"/>
          <w:szCs w:val="31"/>
          <w:lang w:eastAsia="ru-RU"/>
        </w:rPr>
        <w:t>Томилко</w:t>
      </w:r>
      <w:proofErr w:type="spellEnd"/>
      <w:r w:rsidRPr="003A6BDA">
        <w:rPr>
          <w:rFonts w:ascii="Arial" w:eastAsia="Times New Roman" w:hAnsi="Arial" w:cs="Arial"/>
          <w:color w:val="000000"/>
          <w:sz w:val="31"/>
          <w:szCs w:val="31"/>
          <w:lang w:eastAsia="ru-RU"/>
        </w:rPr>
        <w:t>, начальника отдела закупок этой же контрольно-счетной палаты.</w:t>
      </w:r>
    </w:p>
    <w:p w:rsidR="003A6BDA" w:rsidRPr="003A6BDA" w:rsidRDefault="003A6BDA" w:rsidP="003A6BDA">
      <w:pPr>
        <w:shd w:val="clear" w:color="auto" w:fill="FFFFFF"/>
        <w:spacing w:before="480" w:after="240" w:line="288" w:lineRule="atLeast"/>
        <w:outlineLvl w:val="1"/>
        <w:rPr>
          <w:rFonts w:ascii="Times New Roman" w:eastAsia="Times New Roman" w:hAnsi="Times New Roman" w:cs="Times New Roman"/>
          <w:b/>
          <w:bCs/>
          <w:color w:val="9F1919"/>
          <w:sz w:val="38"/>
          <w:szCs w:val="38"/>
          <w:lang w:eastAsia="ru-RU"/>
        </w:rPr>
      </w:pPr>
      <w:r w:rsidRPr="003A6BDA">
        <w:rPr>
          <w:rFonts w:ascii="Times New Roman" w:eastAsia="Times New Roman" w:hAnsi="Times New Roman" w:cs="Times New Roman"/>
          <w:b/>
          <w:bCs/>
          <w:color w:val="9F1919"/>
          <w:sz w:val="38"/>
          <w:szCs w:val="38"/>
          <w:lang w:eastAsia="ru-RU"/>
        </w:rPr>
        <w:t>Подготовка</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На этапе подготовки аудита эффективности использования средств местного бюджета на </w:t>
      </w:r>
      <w:bookmarkStart w:id="0" w:name="_Hlk135323321"/>
      <w:r w:rsidRPr="003A6BDA">
        <w:rPr>
          <w:rFonts w:ascii="Arial" w:eastAsia="Times New Roman" w:hAnsi="Arial" w:cs="Arial"/>
          <w:sz w:val="24"/>
          <w:szCs w:val="24"/>
          <w:lang w:eastAsia="ru-RU"/>
        </w:rPr>
        <w:t>приобретение, создание, модернизацию и сопровождение </w:t>
      </w:r>
      <w:bookmarkEnd w:id="0"/>
      <w:r w:rsidRPr="003A6BDA">
        <w:rPr>
          <w:rFonts w:ascii="Arial" w:eastAsia="Times New Roman" w:hAnsi="Arial" w:cs="Arial"/>
          <w:color w:val="000000"/>
          <w:sz w:val="24"/>
          <w:szCs w:val="24"/>
          <w:lang w:eastAsia="ru-RU"/>
        </w:rPr>
        <w:t xml:space="preserve">информационных систем и программных продуктов проанализированы результаты оценки эффективности цифровой трансформации городского хозяйства. Оценку проводило Министерство строительства и ЖКХ РФ согласно паспорту национального проекта «Жилье и городская среда». </w:t>
      </w:r>
      <w:r w:rsidRPr="003A6BDA">
        <w:rPr>
          <w:rFonts w:ascii="Arial" w:eastAsia="Times New Roman" w:hAnsi="Arial" w:cs="Arial"/>
          <w:color w:val="000000"/>
          <w:sz w:val="24"/>
          <w:szCs w:val="24"/>
          <w:lang w:eastAsia="ru-RU"/>
        </w:rPr>
        <w:lastRenderedPageBreak/>
        <w:t>Механизм следующий: городу присваивается интегральный индекс IQ, рассчитанный на </w:t>
      </w:r>
      <w:proofErr w:type="spellStart"/>
      <w:r w:rsidRPr="003A6BDA">
        <w:rPr>
          <w:rFonts w:ascii="Arial" w:eastAsia="Times New Roman" w:hAnsi="Arial" w:cs="Arial"/>
          <w:color w:val="000000"/>
          <w:sz w:val="24"/>
          <w:szCs w:val="24"/>
          <w:lang w:eastAsia="ru-RU"/>
        </w:rPr>
        <w:t>субиндексах</w:t>
      </w:r>
      <w:proofErr w:type="spellEnd"/>
      <w:r w:rsidRPr="003A6BDA">
        <w:rPr>
          <w:rFonts w:ascii="Arial" w:eastAsia="Times New Roman" w:hAnsi="Arial" w:cs="Arial"/>
          <w:color w:val="000000"/>
          <w:sz w:val="24"/>
          <w:szCs w:val="24"/>
          <w:lang w:eastAsia="ru-RU"/>
        </w:rPr>
        <w:t xml:space="preserve"> основных направлений цифровой трансформации, — городское управление, интеллектуальные системы социальных услуг, «умное» жилищно-коммунальное хозяйство, «умный» городской транспорт и другие (</w:t>
      </w:r>
      <w:r w:rsidRPr="00603D3F">
        <w:rPr>
          <w:rFonts w:ascii="Arial" w:eastAsia="Times New Roman" w:hAnsi="Arial" w:cs="Arial"/>
          <w:sz w:val="24"/>
          <w:szCs w:val="24"/>
          <w:u w:val="single"/>
          <w:lang w:eastAsia="ru-RU"/>
        </w:rPr>
        <w:t>Результаты оценки хода и эффективности цифровой трансформации городского хозяйства (IQ городов)</w:t>
      </w:r>
      <w:r w:rsidRPr="003A6BDA">
        <w:rPr>
          <w:rFonts w:ascii="Arial" w:eastAsia="Times New Roman" w:hAnsi="Arial" w:cs="Arial"/>
          <w:sz w:val="24"/>
          <w:szCs w:val="24"/>
          <w:lang w:eastAsia="ru-RU"/>
        </w:rPr>
        <w:t xml:space="preserve">). </w:t>
      </w:r>
      <w:r w:rsidRPr="003A6BDA">
        <w:rPr>
          <w:rFonts w:ascii="Arial" w:eastAsia="Times New Roman" w:hAnsi="Arial" w:cs="Arial"/>
          <w:color w:val="000000"/>
          <w:sz w:val="24"/>
          <w:szCs w:val="24"/>
          <w:lang w:eastAsia="ru-RU"/>
        </w:rPr>
        <w:t>Крупным городам РФ в 2020–2021 годах были присвоены следующие индексы IQ:</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38"/>
        <w:gridCol w:w="1417"/>
        <w:gridCol w:w="2238"/>
        <w:gridCol w:w="1417"/>
      </w:tblGrid>
      <w:tr w:rsidR="003A6BDA" w:rsidRPr="003A6BDA" w:rsidTr="003A6BDA">
        <w:tc>
          <w:tcPr>
            <w:tcW w:w="0" w:type="auto"/>
            <w:gridSpan w:val="2"/>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2020</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2021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Город</w:t>
            </w:r>
          </w:p>
        </w:tc>
        <w:tc>
          <w:tcPr>
            <w:tcW w:w="0" w:type="auto"/>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Индекс IQ</w:t>
            </w:r>
          </w:p>
        </w:tc>
        <w:tc>
          <w:tcPr>
            <w:tcW w:w="0" w:type="auto"/>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Город</w:t>
            </w:r>
          </w:p>
        </w:tc>
        <w:tc>
          <w:tcPr>
            <w:tcW w:w="0" w:type="auto"/>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Индекс IQ</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Москва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103,2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Москва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117,1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Воронеж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Санкт-Петербург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98,1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Казань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60,9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Нижний Новгород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88,2</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Екатеринбург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56,6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Уфа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86,7</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Уфа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55,9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Казань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85,0</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Санкт-Петербург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55,8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Красноярск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75,9</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Краснодар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Волгоград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72,9</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Челябинск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Челябинск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70,9</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Нижний Новгород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Воронеж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70,6</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Пермь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Пермь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67,7</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Самара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49,9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Екатеринбург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60,2</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Ростов-на-Дону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49,7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Самара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57,3</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Новосибирск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49,3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Краснодар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57,2</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Омск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45,1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Омск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37,9</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Волгоград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44,7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Ростов-на-Дону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37,1</w:t>
            </w:r>
          </w:p>
        </w:tc>
      </w:tr>
    </w:tbl>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Индекс IQ Краснодара сложился в результате суммирования </w:t>
      </w:r>
      <w:proofErr w:type="spellStart"/>
      <w:r w:rsidRPr="003A6BDA">
        <w:rPr>
          <w:rFonts w:ascii="Arial" w:eastAsia="Times New Roman" w:hAnsi="Arial" w:cs="Arial"/>
          <w:color w:val="000000"/>
          <w:sz w:val="24"/>
          <w:szCs w:val="24"/>
          <w:lang w:eastAsia="ru-RU"/>
        </w:rPr>
        <w:t>субиндексов</w:t>
      </w:r>
      <w:proofErr w:type="spellEnd"/>
      <w:r w:rsidRPr="003A6BDA">
        <w:rPr>
          <w:rFonts w:ascii="Arial" w:eastAsia="Times New Roman" w:hAnsi="Arial" w:cs="Arial"/>
          <w:color w:val="000000"/>
          <w:sz w:val="24"/>
          <w:szCs w:val="24"/>
          <w:lang w:eastAsia="ru-RU"/>
        </w:rPr>
        <w:t xml:space="preserve"> уровней цифровой трансформации города по следующим направлениям:</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49"/>
        <w:gridCol w:w="1395"/>
        <w:gridCol w:w="1395"/>
      </w:tblGrid>
      <w:tr w:rsidR="003A6BDA" w:rsidRPr="003A6BDA" w:rsidTr="003A6BDA">
        <w:tc>
          <w:tcPr>
            <w:tcW w:w="0" w:type="auto"/>
            <w:vMerge w:val="restart"/>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proofErr w:type="spellStart"/>
            <w:r w:rsidRPr="003A6BDA">
              <w:rPr>
                <w:rFonts w:ascii="Arial" w:eastAsia="Times New Roman" w:hAnsi="Arial" w:cs="Arial"/>
                <w:b/>
                <w:bCs/>
                <w:color w:val="000000"/>
                <w:sz w:val="24"/>
                <w:szCs w:val="24"/>
                <w:lang w:eastAsia="ru-RU"/>
              </w:rPr>
              <w:lastRenderedPageBreak/>
              <w:t>Субиндекс</w:t>
            </w:r>
            <w:proofErr w:type="spellEnd"/>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Значение индикатора</w:t>
            </w:r>
          </w:p>
        </w:tc>
      </w:tr>
      <w:tr w:rsidR="003A6BDA" w:rsidRPr="003A6BDA" w:rsidTr="003A6BDA">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BDA" w:rsidRPr="003A6BDA" w:rsidRDefault="003A6BDA" w:rsidP="003A6BDA">
            <w:pPr>
              <w:spacing w:after="0" w:line="240" w:lineRule="auto"/>
              <w:rPr>
                <w:rFonts w:ascii="Arial" w:eastAsia="Times New Roman" w:hAnsi="Arial" w:cs="Arial"/>
                <w:b/>
                <w:bCs/>
                <w:color w:val="000000"/>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2020</w:t>
            </w:r>
          </w:p>
        </w:tc>
        <w:tc>
          <w:tcPr>
            <w:tcW w:w="0" w:type="auto"/>
            <w:tcBorders>
              <w:top w:val="single" w:sz="6" w:space="0" w:color="CCCCCC"/>
              <w:left w:val="single" w:sz="6" w:space="0" w:color="CCCCCC"/>
              <w:bottom w:val="single" w:sz="6" w:space="0" w:color="CCCCCC"/>
              <w:right w:val="single" w:sz="6" w:space="0" w:color="CCCCCC"/>
            </w:tcBorders>
            <w:shd w:val="clear" w:color="auto" w:fill="E3E3E3"/>
            <w:tcMar>
              <w:top w:w="120" w:type="dxa"/>
              <w:left w:w="120" w:type="dxa"/>
              <w:bottom w:w="120" w:type="dxa"/>
              <w:right w:w="120" w:type="dxa"/>
            </w:tcMar>
            <w:vAlign w:val="center"/>
            <w:hideMark/>
          </w:tcPr>
          <w:p w:rsidR="003A6BDA" w:rsidRPr="003A6BDA" w:rsidRDefault="003A6BDA" w:rsidP="003A6BDA">
            <w:pPr>
              <w:spacing w:after="0" w:line="360" w:lineRule="atLeast"/>
              <w:jc w:val="center"/>
              <w:rPr>
                <w:rFonts w:ascii="Arial" w:eastAsia="Times New Roman" w:hAnsi="Arial" w:cs="Arial"/>
                <w:b/>
                <w:bCs/>
                <w:color w:val="000000"/>
                <w:sz w:val="24"/>
                <w:szCs w:val="24"/>
                <w:lang w:eastAsia="ru-RU"/>
              </w:rPr>
            </w:pPr>
            <w:r w:rsidRPr="003A6BDA">
              <w:rPr>
                <w:rFonts w:ascii="Arial" w:eastAsia="Times New Roman" w:hAnsi="Arial" w:cs="Arial"/>
                <w:b/>
                <w:bCs/>
                <w:color w:val="000000"/>
                <w:sz w:val="24"/>
                <w:szCs w:val="24"/>
                <w:lang w:eastAsia="ru-RU"/>
              </w:rPr>
              <w:t>2021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Городское управление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4,60</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Инновации для городской среды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7,25</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Интеллектуальные системы общественной безопасности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6,21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Интеллектуальные системы социальных услуг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9,21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Интеллектуальные системы экологической безопасности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–0,29</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Инфраструктура сетей связи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9,71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Туризм и сервис</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3,21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«Умное» жилищно-коммунальное хозяйство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6,25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–0,11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«Умный» городской транспорт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7,71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Экономическое состояние и инвестиционный климат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9,71</w:t>
            </w:r>
          </w:p>
        </w:tc>
      </w:tr>
      <w:tr w:rsidR="003A6BDA" w:rsidRPr="003A6BDA" w:rsidTr="003A6BDA">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Итого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52,25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rsidR="003A6BDA" w:rsidRPr="003A6BDA" w:rsidRDefault="003A6BDA" w:rsidP="003A6BDA">
            <w:pPr>
              <w:spacing w:after="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57,22</w:t>
            </w:r>
          </w:p>
        </w:tc>
      </w:tr>
    </w:tbl>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Кроме того, мы проанализировали результаты мониторинга, проведенного Департаментом информатизации и связи Краснодарского края по показателю «Цифровая зрелость» в отношении органов местного самоуправления. Краснодар по итогам 2021 года занял девятое место среди 44 муниципальных образований региона.</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В аудите эффективности участвовал экспертный совет, сформированный из ведущих специалистов Краснодарского края в сфере ИТ: представителей депутатского корпуса, общественных организаций, вузов. С учетом опыта Контрольно-счетной палаты Красноярска и мнения экспертов мы утвердили четыре цели и 15 критериев аудита эффективности использования средств местного бюджета на приобретение, создание, модернизацию и сопровождение информационных систем и программных продуктов.</w:t>
      </w:r>
    </w:p>
    <w:p w:rsidR="003A6BDA" w:rsidRPr="003A6BDA" w:rsidRDefault="003A6BDA" w:rsidP="003A6BDA">
      <w:pPr>
        <w:shd w:val="clear" w:color="auto" w:fill="FFFFFF"/>
        <w:spacing w:after="0" w:line="240" w:lineRule="auto"/>
        <w:jc w:val="center"/>
        <w:rPr>
          <w:rFonts w:ascii="Arial" w:eastAsia="Times New Roman" w:hAnsi="Arial" w:cs="Arial"/>
          <w:color w:val="000000"/>
          <w:sz w:val="24"/>
          <w:szCs w:val="24"/>
          <w:lang w:eastAsia="ru-RU"/>
        </w:rPr>
      </w:pPr>
      <w:r w:rsidRPr="003A6BDA">
        <w:rPr>
          <w:rFonts w:ascii="Arial" w:eastAsia="Times New Roman" w:hAnsi="Arial" w:cs="Arial"/>
          <w:noProof/>
          <w:color w:val="000000"/>
          <w:sz w:val="24"/>
          <w:szCs w:val="24"/>
          <w:lang w:eastAsia="ru-RU"/>
        </w:rPr>
        <w:lastRenderedPageBreak/>
        <w:drawing>
          <wp:inline distT="0" distB="0" distL="0" distR="0">
            <wp:extent cx="5130800" cy="3848100"/>
            <wp:effectExtent l="0" t="0" r="0" b="0"/>
            <wp:docPr id="2" name="Рисунок 2" descr="https://rufincontrol.ru/upload/resize_cache/iblock/ad2/jtyfm11sgi90rrve1h9xvr53pf2uf0f9/880_9999_175511db9cefbc414a902a46f1b8fae16/s20230523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15" descr="https://rufincontrol.ru/upload/resize_cache/iblock/ad2/jtyfm11sgi90rrve1h9xvr53pf2uf0f9/880_9999_175511db9cefbc414a902a46f1b8fae16/s20230523_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800" cy="3848100"/>
                    </a:xfrm>
                    <a:prstGeom prst="rect">
                      <a:avLst/>
                    </a:prstGeom>
                    <a:noFill/>
                    <a:ln>
                      <a:noFill/>
                    </a:ln>
                  </pic:spPr>
                </pic:pic>
              </a:graphicData>
            </a:graphic>
          </wp:inline>
        </w:drawing>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Далее мы разработали порядок оценки согласно утвержденным критериям. Было определено максимально возможное суммированное по всем критериям количество баллов — 23. При этом низкий уровень эффективности цифровой трансформации направления фиксировался при показателях от 0 до 8 баллов, средний уровень — от 9 до 16 баллов, высокий уровень — от 17 до 23 баллов.</w:t>
      </w:r>
    </w:p>
    <w:p w:rsidR="003A6BDA" w:rsidRPr="003A6BDA" w:rsidRDefault="003A6BDA" w:rsidP="003A6BDA">
      <w:pPr>
        <w:shd w:val="clear" w:color="auto" w:fill="FFFFFF"/>
        <w:spacing w:before="480" w:after="240" w:line="288" w:lineRule="atLeast"/>
        <w:outlineLvl w:val="1"/>
        <w:rPr>
          <w:rFonts w:ascii="Times New Roman" w:eastAsia="Times New Roman" w:hAnsi="Times New Roman" w:cs="Times New Roman"/>
          <w:b/>
          <w:bCs/>
          <w:color w:val="9F1919"/>
          <w:sz w:val="38"/>
          <w:szCs w:val="38"/>
          <w:lang w:eastAsia="ru-RU"/>
        </w:rPr>
      </w:pPr>
      <w:r w:rsidRPr="003A6BDA">
        <w:rPr>
          <w:rFonts w:ascii="Times New Roman" w:eastAsia="Times New Roman" w:hAnsi="Times New Roman" w:cs="Times New Roman"/>
          <w:b/>
          <w:bCs/>
          <w:color w:val="9F1919"/>
          <w:sz w:val="38"/>
          <w:szCs w:val="38"/>
          <w:lang w:eastAsia="ru-RU"/>
        </w:rPr>
        <w:t>Аудит</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Расходы на приобретение, создание, модернизацию и сопровождение информационных систем и программных продуктов в Краснодаре в течение 2017–2021 годов составили 841,3 миллиона рублей.</w:t>
      </w:r>
    </w:p>
    <w:p w:rsidR="003A6BDA" w:rsidRPr="003A6BDA" w:rsidRDefault="003A6BDA" w:rsidP="003A6BDA">
      <w:pPr>
        <w:shd w:val="clear" w:color="auto" w:fill="FFFFFF"/>
        <w:spacing w:after="0" w:line="240" w:lineRule="auto"/>
        <w:jc w:val="center"/>
        <w:rPr>
          <w:rFonts w:ascii="Arial" w:eastAsia="Times New Roman" w:hAnsi="Arial" w:cs="Arial"/>
          <w:color w:val="000000"/>
          <w:sz w:val="24"/>
          <w:szCs w:val="24"/>
          <w:lang w:eastAsia="ru-RU"/>
        </w:rPr>
      </w:pPr>
      <w:r w:rsidRPr="003A6BDA">
        <w:rPr>
          <w:rFonts w:ascii="Arial" w:eastAsia="Times New Roman" w:hAnsi="Arial" w:cs="Arial"/>
          <w:noProof/>
          <w:color w:val="000000"/>
          <w:sz w:val="24"/>
          <w:szCs w:val="24"/>
          <w:lang w:eastAsia="ru-RU"/>
        </w:rPr>
        <w:lastRenderedPageBreak/>
        <w:drawing>
          <wp:inline distT="0" distB="0" distL="0" distR="0">
            <wp:extent cx="5867400" cy="4400550"/>
            <wp:effectExtent l="0" t="0" r="0" b="0"/>
            <wp:docPr id="1" name="Рисунок 1" descr="https://rufincontrol.ru/upload/resize_cache/iblock/c01/sou25wj90akva82a6dlo7vvd6o4q5vqu/880_9999_175511db9cefbc414a902a46f1b8fae16/s20230523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16" descr="https://rufincontrol.ru/upload/resize_cache/iblock/c01/sou25wj90akva82a6dlo7vvd6o4q5vqu/880_9999_175511db9cefbc414a902a46f1b8fae16/s20230523_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1" cy="4400551"/>
                    </a:xfrm>
                    <a:prstGeom prst="rect">
                      <a:avLst/>
                    </a:prstGeom>
                    <a:noFill/>
                    <a:ln>
                      <a:noFill/>
                    </a:ln>
                  </pic:spPr>
                </pic:pic>
              </a:graphicData>
            </a:graphic>
          </wp:inline>
        </w:drawing>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Максимальная доля расходов приходится на приобретение программного обеспечения (в том числе неисключительного права) — 516,9 миллиона рублей (61,4%). Установлено, что в течение 2018–2019 годов в расходах преобладала доля расходов на информационные системы и программные продукты, происходящие из иностранных государств. В 2020–2022 годах более 70% составили расходы на информационные системы и программные продукты, страна происхождения которых — Россия. При этом, по мнению Контрольно-счетной палаты Краснодара, в течение 2023 года и последующего периода имеются риски дополнительных затрат средств местного бюджета, связанные с переходом на отечественное программное обеспечение.</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Аудит эффективности проведен по пяти главным распорядителям средств местного бюджета: администрация муниципального образования город Краснодар, Департамент муниципальной собственности и городских земель, Департамент городского хозяйства и топливно-энергетического комплекса, Департамент образования, Департамент транспорта (совокупная доля в расходах на информационные системы и программные продукты — 77,3%).</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Объекты обследования выбраны в зависимости от доли в закупках информационных систем и программных продуктов, а также влияния цифровой </w:t>
      </w:r>
      <w:r w:rsidRPr="003A6BDA">
        <w:rPr>
          <w:rFonts w:ascii="Arial" w:eastAsia="Times New Roman" w:hAnsi="Arial" w:cs="Arial"/>
          <w:color w:val="000000"/>
          <w:sz w:val="24"/>
          <w:szCs w:val="24"/>
          <w:lang w:eastAsia="ru-RU"/>
        </w:rPr>
        <w:lastRenderedPageBreak/>
        <w:t>зрелости данных подразделений администрации на достижение национальной цели «Цифровая трансформация»</w:t>
      </w:r>
    </w:p>
    <w:p w:rsidR="003A6BDA" w:rsidRPr="003A6BDA" w:rsidRDefault="003A6BDA" w:rsidP="003A6BDA">
      <w:pPr>
        <w:shd w:val="clear" w:color="auto" w:fill="FFFFFF"/>
        <w:spacing w:before="480" w:after="240" w:line="288" w:lineRule="atLeast"/>
        <w:outlineLvl w:val="1"/>
        <w:rPr>
          <w:rFonts w:ascii="Times New Roman" w:eastAsia="Times New Roman" w:hAnsi="Times New Roman" w:cs="Times New Roman"/>
          <w:b/>
          <w:bCs/>
          <w:color w:val="9F1919"/>
          <w:sz w:val="38"/>
          <w:szCs w:val="38"/>
          <w:lang w:eastAsia="ru-RU"/>
        </w:rPr>
      </w:pPr>
      <w:r w:rsidRPr="003A6BDA">
        <w:rPr>
          <w:rFonts w:ascii="Times New Roman" w:eastAsia="Times New Roman" w:hAnsi="Times New Roman" w:cs="Times New Roman"/>
          <w:b/>
          <w:bCs/>
          <w:color w:val="9F1919"/>
          <w:sz w:val="38"/>
          <w:szCs w:val="38"/>
          <w:lang w:eastAsia="ru-RU"/>
        </w:rPr>
        <w:t>Выводы по результатам аудита</w:t>
      </w:r>
    </w:p>
    <w:p w:rsidR="003A6BDA" w:rsidRPr="003A6BDA" w:rsidRDefault="003A6BDA" w:rsidP="003A6BDA">
      <w:pPr>
        <w:shd w:val="clear" w:color="auto" w:fill="FFFFFF"/>
        <w:spacing w:before="360" w:after="240" w:line="288" w:lineRule="atLeast"/>
        <w:outlineLvl w:val="2"/>
        <w:rPr>
          <w:rFonts w:ascii="Times New Roman" w:eastAsia="Times New Roman" w:hAnsi="Times New Roman" w:cs="Times New Roman"/>
          <w:b/>
          <w:bCs/>
          <w:color w:val="9F1919"/>
          <w:sz w:val="31"/>
          <w:szCs w:val="31"/>
          <w:lang w:eastAsia="ru-RU"/>
        </w:rPr>
      </w:pPr>
      <w:r w:rsidRPr="003A6BDA">
        <w:rPr>
          <w:rFonts w:ascii="Times New Roman" w:eastAsia="Times New Roman" w:hAnsi="Times New Roman" w:cs="Times New Roman"/>
          <w:b/>
          <w:bCs/>
          <w:color w:val="9F1919"/>
          <w:sz w:val="31"/>
          <w:szCs w:val="31"/>
          <w:lang w:eastAsia="ru-RU"/>
        </w:rPr>
        <w:t>Цель 1</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 В нарушение требований </w:t>
      </w:r>
      <w:bookmarkStart w:id="1" w:name="_GoBack"/>
      <w:r w:rsidRPr="00603D3F">
        <w:rPr>
          <w:rFonts w:ascii="Arial" w:eastAsia="Times New Roman" w:hAnsi="Arial" w:cs="Arial"/>
          <w:sz w:val="24"/>
          <w:szCs w:val="24"/>
          <w:u w:val="single"/>
          <w:lang w:eastAsia="ru-RU"/>
        </w:rPr>
        <w:t>статьи 7 Закона № 172-ФЗ</w:t>
      </w:r>
      <w:r w:rsidRPr="003A6BDA">
        <w:rPr>
          <w:rFonts w:ascii="Arial" w:eastAsia="Times New Roman" w:hAnsi="Arial" w:cs="Arial"/>
          <w:sz w:val="24"/>
          <w:szCs w:val="24"/>
          <w:lang w:eastAsia="ru-RU"/>
        </w:rPr>
        <w:t> </w:t>
      </w:r>
      <w:bookmarkEnd w:id="1"/>
      <w:r w:rsidRPr="003A6BDA">
        <w:rPr>
          <w:rFonts w:ascii="Arial" w:eastAsia="Times New Roman" w:hAnsi="Arial" w:cs="Arial"/>
          <w:color w:val="000000"/>
          <w:sz w:val="24"/>
          <w:szCs w:val="24"/>
          <w:lang w:eastAsia="ru-RU"/>
        </w:rPr>
        <w:t>на дату завершения обследования согласованность и сбалансированность документов стратегического планирования Краснодара в сфере информатизации по приоритетам, целям, задачам, мероприятиям, показателям, финансовым и иным ресурсам и срокам реализации обеспечена не в полной мере.</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2. Качество имеющихся нормативных правовых актов города, определяющих механизмы приобретения, создания, модернизации и сопровождения информационных систем и программных продуктов, недостаточное для устойчивого функционирования и комплексного развития информатизации, информационно-коммуникационных технологий и связи. Мероприятия по </w:t>
      </w:r>
      <w:proofErr w:type="spellStart"/>
      <w:r w:rsidRPr="003A6BDA">
        <w:rPr>
          <w:rFonts w:ascii="Arial" w:eastAsia="Times New Roman" w:hAnsi="Arial" w:cs="Arial"/>
          <w:color w:val="000000"/>
          <w:sz w:val="24"/>
          <w:szCs w:val="24"/>
          <w:lang w:eastAsia="ru-RU"/>
        </w:rPr>
        <w:t>цифровизации</w:t>
      </w:r>
      <w:proofErr w:type="spellEnd"/>
      <w:r w:rsidRPr="003A6BDA">
        <w:rPr>
          <w:rFonts w:ascii="Arial" w:eastAsia="Times New Roman" w:hAnsi="Arial" w:cs="Arial"/>
          <w:color w:val="000000"/>
          <w:sz w:val="24"/>
          <w:szCs w:val="24"/>
          <w:lang w:eastAsia="ru-RU"/>
        </w:rPr>
        <w:t xml:space="preserve"> сфер ЖКХ, транспорта и дорожного хозяйства, управления муниципальной собственностью и др. не предусмотрены ни в программе «Электронный Краснодар», ни в отраслевых программах.</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3. Имеются факты </w:t>
      </w:r>
      <w:proofErr w:type="spellStart"/>
      <w:r w:rsidRPr="003A6BDA">
        <w:rPr>
          <w:rFonts w:ascii="Arial" w:eastAsia="Times New Roman" w:hAnsi="Arial" w:cs="Arial"/>
          <w:color w:val="000000"/>
          <w:sz w:val="24"/>
          <w:szCs w:val="24"/>
          <w:lang w:eastAsia="ru-RU"/>
        </w:rPr>
        <w:t>недостижения</w:t>
      </w:r>
      <w:proofErr w:type="spellEnd"/>
      <w:r w:rsidRPr="003A6BDA">
        <w:rPr>
          <w:rFonts w:ascii="Arial" w:eastAsia="Times New Roman" w:hAnsi="Arial" w:cs="Arial"/>
          <w:color w:val="000000"/>
          <w:sz w:val="24"/>
          <w:szCs w:val="24"/>
          <w:lang w:eastAsia="ru-RU"/>
        </w:rPr>
        <w:t xml:space="preserve"> целей муниципальных программ, а также достижение отдельных целевых показателей путем корректировки плановых под фактически достигнутые при соответствующем изменении финансирования в конце года.</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 В положениях об органах администрации и уставах подведомственных им казенных учреждений не отражены цели и задачи формирования, устойчивого функционирования и комплексного развития информатизации, информационно-коммуникационных технологий в части имеющихся полномочий.</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5. В течение 2017–2022 годов значительная доля расходов бюджетных средств, выделенных на приобретение, создание, модернизацию и сопровождение информационных систем и программных продуктов (более 69%), осуществлялась не в рамках мероприятий программы «Электронный Краснодар» и без согласования с Управлением информационно-коммуникационных технологий и связи.</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lastRenderedPageBreak/>
        <w:t>6. Установлены факты некачественного исполнения главными распорядителями средств местного бюджета своих полномочий при использовании средств на приобретение, создание, модернизацию и сопровождение информационных систем и программных продуктов. В том числе был констатирован недостаточный ведомственный контроль в сфере закупок. Так, ряд заказчиков ненадлежащим образом сформулировали предметы муниципальных контрактов (отсутствует информация о создании информационных систем в результате исполнения контракта). Кроме того, в ряде контрактов отсутствуют условия о передаче заказчику прав на результаты интеллектуальной деятельности.</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7. Установлены допущенные органами администрации и подведомственными им учреждениями многочисленные нарушения при отражении в учете информационных систем и программных продуктов.</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8. Существующая технологическая и архитектурная разобщенность ИС Краснодара не позволяет оптимизировать затраты на их модернизацию, сопровождение и эксплуатацию, а также затрудняет синхронизацию планов по развитию ИС и их взаимной интеграции.</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9. В нарушение требований муниципальных правовых актов у ряда органов администрации и их подведомственных учреждений информационные системы и программные продукты, балансодержателями, обладателями и операторами которых они являются, на дату завершения мероприятия отсутствовали в реестре муниципальных информационных ресурсов (не менее 57 информационных ресурсов).</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10. Условия хранения и эксплуатации муниципальных информационных систем (ресурсов) не в полной мере соответствуют требованиям о защите информации и персональных данных.</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11. На дату завершения мероприятия имелись </w:t>
      </w:r>
      <w:proofErr w:type="spellStart"/>
      <w:r w:rsidRPr="003A6BDA">
        <w:rPr>
          <w:rFonts w:ascii="Arial" w:eastAsia="Times New Roman" w:hAnsi="Arial" w:cs="Arial"/>
          <w:color w:val="000000"/>
          <w:sz w:val="24"/>
          <w:szCs w:val="24"/>
          <w:lang w:eastAsia="ru-RU"/>
        </w:rPr>
        <w:t>неустраненные</w:t>
      </w:r>
      <w:proofErr w:type="spellEnd"/>
      <w:r w:rsidRPr="003A6BDA">
        <w:rPr>
          <w:rFonts w:ascii="Arial" w:eastAsia="Times New Roman" w:hAnsi="Arial" w:cs="Arial"/>
          <w:color w:val="000000"/>
          <w:sz w:val="24"/>
          <w:szCs w:val="24"/>
          <w:lang w:eastAsia="ru-RU"/>
        </w:rPr>
        <w:t xml:space="preserve"> замечания органов, ответственных за контроль и аудит в сфере защиты информации и персональных данных (ФСТЭК).</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12. Установлено, что не все информационные системы органов местного самоуправления, предназначенные для предоставления муниципальных услуг (выполнения функций) в электронной форме, при наличии технической возможности подключены к региональной системе межведомственного электронного взаимодействия. Кроме того, установлен факт, когда при наличии технической возможности осуществления услуги через СМЭВ граждане </w:t>
      </w:r>
      <w:r w:rsidRPr="003A6BDA">
        <w:rPr>
          <w:rFonts w:ascii="Arial" w:eastAsia="Times New Roman" w:hAnsi="Arial" w:cs="Arial"/>
          <w:color w:val="000000"/>
          <w:sz w:val="24"/>
          <w:szCs w:val="24"/>
          <w:lang w:eastAsia="ru-RU"/>
        </w:rPr>
        <w:lastRenderedPageBreak/>
        <w:t>обращаются за получением услуги исключительно при личном посещении, предоставляя документы на бумажном носителе (оказываемая Управлением экономики услуга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p w:rsidR="003A6BDA" w:rsidRPr="003A6BDA" w:rsidRDefault="003A6BDA" w:rsidP="003A6BDA">
      <w:pPr>
        <w:shd w:val="clear" w:color="auto" w:fill="FFFFFF"/>
        <w:spacing w:before="360" w:after="240" w:line="288" w:lineRule="atLeast"/>
        <w:outlineLvl w:val="2"/>
        <w:rPr>
          <w:rFonts w:ascii="Times New Roman" w:eastAsia="Times New Roman" w:hAnsi="Times New Roman" w:cs="Times New Roman"/>
          <w:b/>
          <w:bCs/>
          <w:color w:val="9F1919"/>
          <w:sz w:val="31"/>
          <w:szCs w:val="31"/>
          <w:lang w:eastAsia="ru-RU"/>
        </w:rPr>
      </w:pPr>
      <w:r w:rsidRPr="003A6BDA">
        <w:rPr>
          <w:rFonts w:ascii="Times New Roman" w:eastAsia="Times New Roman" w:hAnsi="Times New Roman" w:cs="Times New Roman"/>
          <w:b/>
          <w:bCs/>
          <w:color w:val="9F1919"/>
          <w:sz w:val="31"/>
          <w:szCs w:val="31"/>
          <w:lang w:eastAsia="ru-RU"/>
        </w:rPr>
        <w:t>Цель 2</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 Установлено, что ряд ГРБС принял не все возможные меры в целях эффективного расходования средств бюджета, выделенных на финансовое обеспечение приобретения, создания, модернизации и сопровождения информационных систем и программных продуктов. Так, существенная доля закупок (</w:t>
      </w:r>
      <w:proofErr w:type="spellStart"/>
      <w:r w:rsidRPr="003A6BDA">
        <w:rPr>
          <w:rFonts w:ascii="Arial" w:eastAsia="Times New Roman" w:hAnsi="Arial" w:cs="Arial"/>
          <w:color w:val="000000"/>
          <w:sz w:val="24"/>
          <w:szCs w:val="24"/>
          <w:lang w:eastAsia="ru-RU"/>
        </w:rPr>
        <w:t>провизорно</w:t>
      </w:r>
      <w:proofErr w:type="spellEnd"/>
      <w:r w:rsidRPr="003A6BDA">
        <w:rPr>
          <w:rFonts w:ascii="Arial" w:eastAsia="Times New Roman" w:hAnsi="Arial" w:cs="Arial"/>
          <w:color w:val="000000"/>
          <w:sz w:val="24"/>
          <w:szCs w:val="24"/>
          <w:lang w:eastAsia="ru-RU"/>
        </w:rPr>
        <w:t> 59%) осуществлена у единственного поставщика.</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2. Существующие механизмы приобретения, создания, модернизации и сопровождения муниципальных информационных систем (ресурсов) требуют совершенствования для обеспечения </w:t>
      </w:r>
      <w:proofErr w:type="spellStart"/>
      <w:r w:rsidRPr="003A6BDA">
        <w:rPr>
          <w:rFonts w:ascii="Arial" w:eastAsia="Times New Roman" w:hAnsi="Arial" w:cs="Arial"/>
          <w:color w:val="000000"/>
          <w:sz w:val="24"/>
          <w:szCs w:val="24"/>
          <w:lang w:eastAsia="ru-RU"/>
        </w:rPr>
        <w:t>цифровизации</w:t>
      </w:r>
      <w:proofErr w:type="spellEnd"/>
      <w:r w:rsidRPr="003A6BDA">
        <w:rPr>
          <w:rFonts w:ascii="Arial" w:eastAsia="Times New Roman" w:hAnsi="Arial" w:cs="Arial"/>
          <w:color w:val="000000"/>
          <w:sz w:val="24"/>
          <w:szCs w:val="24"/>
          <w:lang w:eastAsia="ru-RU"/>
        </w:rPr>
        <w:t xml:space="preserve"> муниципального управления.</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3. Установлены случаи, когда закупки информационных систем и программных продуктов осуществлялись без согласования с Управлением информационно-коммуникационных технологий и связи, вследствие чего для достижения запланированных результатов потребовались дополнительные ресурсы (серверные мощности).</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 Права на результаты интеллектуальной деятельности (информационные системы, программы ЭВМ) не всегда надлежащим образом переданы органам администрации Краснодара.</w:t>
      </w:r>
    </w:p>
    <w:p w:rsidR="003A6BDA" w:rsidRPr="003A6BDA" w:rsidRDefault="003A6BDA" w:rsidP="003A6BDA">
      <w:pPr>
        <w:shd w:val="clear" w:color="auto" w:fill="FFFFFF"/>
        <w:spacing w:before="360" w:after="240" w:line="288" w:lineRule="atLeast"/>
        <w:outlineLvl w:val="2"/>
        <w:rPr>
          <w:rFonts w:ascii="Times New Roman" w:eastAsia="Times New Roman" w:hAnsi="Times New Roman" w:cs="Times New Roman"/>
          <w:b/>
          <w:bCs/>
          <w:color w:val="9F1919"/>
          <w:sz w:val="31"/>
          <w:szCs w:val="31"/>
          <w:lang w:eastAsia="ru-RU"/>
        </w:rPr>
      </w:pPr>
      <w:r w:rsidRPr="003A6BDA">
        <w:rPr>
          <w:rFonts w:ascii="Times New Roman" w:eastAsia="Times New Roman" w:hAnsi="Times New Roman" w:cs="Times New Roman"/>
          <w:b/>
          <w:bCs/>
          <w:color w:val="9F1919"/>
          <w:sz w:val="31"/>
          <w:szCs w:val="31"/>
          <w:lang w:eastAsia="ru-RU"/>
        </w:rPr>
        <w:t>Цель 3</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1. Установлено, что в результате внедрения информационных систем и программных продуктов органы администрации Краснодара не создали всех необходимых условий для:</w:t>
      </w:r>
    </w:p>
    <w:p w:rsidR="003A6BDA" w:rsidRPr="003A6BDA" w:rsidRDefault="003A6BDA" w:rsidP="003A6BDA">
      <w:pPr>
        <w:numPr>
          <w:ilvl w:val="0"/>
          <w:numId w:val="1"/>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качественного и эффективного информационного обеспечения органов местного самоуправления, граждан, организаций;</w:t>
      </w:r>
    </w:p>
    <w:p w:rsidR="003A6BDA" w:rsidRPr="003A6BDA" w:rsidRDefault="003A6BDA" w:rsidP="003A6BDA">
      <w:pPr>
        <w:numPr>
          <w:ilvl w:val="0"/>
          <w:numId w:val="1"/>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решения стратегических и оперативных задач социально-экономического развития города;</w:t>
      </w:r>
    </w:p>
    <w:p w:rsidR="003A6BDA" w:rsidRPr="003A6BDA" w:rsidRDefault="003A6BDA" w:rsidP="003A6BDA">
      <w:pPr>
        <w:numPr>
          <w:ilvl w:val="0"/>
          <w:numId w:val="1"/>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эффективного выполнения функций и полномочий органов местного самоуправления и их подведомственных организаций.</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lastRenderedPageBreak/>
        <w:t>2. Возможности информационных систем и программных продуктов, созданных (приобретенных) органами администрации Краснодара, используются не в полном объеме. Так, органы администрации и подведомственные им учреждения, которые не являются приобретателями конкретных информационных систем, большинство из них не могут использовать. Также многие ИС не предусматривают открытого доступа для граждан.</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3. Большинство ИС и информационных ресурсов, созданных (приобретенных) органами администрации и их подведомственными учреждениями, не актуализируются и не архивируются. Ответственные за актуализацию и архивирование не назначены. Это снижает качество информации, находящейся в информационных системах, формирует риск ее утери, и, как следствие, страдают качество и оперативность муниципального управления.</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4. Как правило, функционирование созданных (приобретенных) органами администрации Краснодара и подведомственными им учреждениями ИС в едином информационном пространстве информационных систем и сетей, внедренных органами местного самоуправления РФ и Краснодарского края, не предусмотрено.</w:t>
      </w:r>
    </w:p>
    <w:p w:rsidR="003A6BDA" w:rsidRPr="003A6BDA" w:rsidRDefault="003A6BDA" w:rsidP="003A6BDA">
      <w:pPr>
        <w:shd w:val="clear" w:color="auto" w:fill="FFFFFF"/>
        <w:spacing w:before="360" w:after="240" w:line="288" w:lineRule="atLeast"/>
        <w:outlineLvl w:val="2"/>
        <w:rPr>
          <w:rFonts w:ascii="Times New Roman" w:eastAsia="Times New Roman" w:hAnsi="Times New Roman" w:cs="Times New Roman"/>
          <w:b/>
          <w:bCs/>
          <w:color w:val="9F1919"/>
          <w:sz w:val="31"/>
          <w:szCs w:val="31"/>
          <w:lang w:eastAsia="ru-RU"/>
        </w:rPr>
      </w:pPr>
      <w:r w:rsidRPr="003A6BDA">
        <w:rPr>
          <w:rFonts w:ascii="Times New Roman" w:eastAsia="Times New Roman" w:hAnsi="Times New Roman" w:cs="Times New Roman"/>
          <w:b/>
          <w:bCs/>
          <w:color w:val="9F1919"/>
          <w:sz w:val="31"/>
          <w:szCs w:val="31"/>
          <w:lang w:eastAsia="ru-RU"/>
        </w:rPr>
        <w:t>Выводы</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В результате проведенного аудита эффективности установлено, что в Краснодаре достигнут средний уровень эффективности использования средств местного бюджета на приобретение, создание, модернизацию и сопровождение информационных систем и программных продуктов — 10,8 балла из 23 максимально возможных.</w:t>
      </w:r>
    </w:p>
    <w:p w:rsidR="003A6BDA" w:rsidRPr="003A6BDA" w:rsidRDefault="003A6BDA" w:rsidP="003A6BDA">
      <w:pPr>
        <w:shd w:val="clear" w:color="auto" w:fill="FFFFFF"/>
        <w:spacing w:after="360" w:line="360" w:lineRule="atLeast"/>
        <w:rPr>
          <w:rFonts w:ascii="Arial" w:eastAsia="Times New Roman" w:hAnsi="Arial" w:cs="Arial"/>
          <w:color w:val="000000"/>
          <w:lang w:eastAsia="ru-RU"/>
        </w:rPr>
      </w:pPr>
      <w:r w:rsidRPr="003A6BDA">
        <w:rPr>
          <w:rFonts w:ascii="Arial" w:eastAsia="Times New Roman" w:hAnsi="Arial" w:cs="Arial"/>
          <w:color w:val="000000"/>
          <w:lang w:eastAsia="ru-RU"/>
        </w:rPr>
        <w:t>В разрезе органов администрации это выглядит следующим образом:</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lang w:eastAsia="ru-RU"/>
        </w:rPr>
      </w:pPr>
      <w:r w:rsidRPr="003A6BDA">
        <w:rPr>
          <w:rFonts w:ascii="Arial" w:eastAsia="Times New Roman" w:hAnsi="Arial" w:cs="Arial"/>
          <w:color w:val="000000"/>
          <w:lang w:eastAsia="ru-RU"/>
        </w:rPr>
        <w:t>Администрация МО город Краснодар — 14 баллов;</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lang w:eastAsia="ru-RU"/>
        </w:rPr>
      </w:pPr>
      <w:r w:rsidRPr="003A6BDA">
        <w:rPr>
          <w:rFonts w:ascii="Arial" w:eastAsia="Times New Roman" w:hAnsi="Arial" w:cs="Arial"/>
          <w:color w:val="000000"/>
          <w:lang w:eastAsia="ru-RU"/>
        </w:rPr>
        <w:t>Департамент образования — 14 баллов;</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lang w:eastAsia="ru-RU"/>
        </w:rPr>
      </w:pPr>
      <w:r w:rsidRPr="003A6BDA">
        <w:rPr>
          <w:rFonts w:ascii="Arial" w:eastAsia="Times New Roman" w:hAnsi="Arial" w:cs="Arial"/>
          <w:color w:val="000000"/>
          <w:lang w:eastAsia="ru-RU"/>
        </w:rPr>
        <w:t>Департамент муниципальной собственности и городских земель — 12 баллов;</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lang w:eastAsia="ru-RU"/>
        </w:rPr>
      </w:pPr>
      <w:r w:rsidRPr="003A6BDA">
        <w:rPr>
          <w:rFonts w:ascii="Arial" w:eastAsia="Times New Roman" w:hAnsi="Arial" w:cs="Arial"/>
          <w:color w:val="000000"/>
          <w:lang w:eastAsia="ru-RU"/>
        </w:rPr>
        <w:t>Департамент транспорта — 9 баллов;</w:t>
      </w:r>
    </w:p>
    <w:p w:rsidR="003A6BDA" w:rsidRPr="003A6BDA" w:rsidRDefault="003A6BDA" w:rsidP="003A6BDA">
      <w:pPr>
        <w:shd w:val="clear" w:color="auto" w:fill="FFFFFF"/>
        <w:spacing w:before="100" w:beforeAutospacing="1" w:line="360" w:lineRule="atLeast"/>
        <w:rPr>
          <w:rFonts w:ascii="Arial" w:eastAsia="Times New Roman" w:hAnsi="Arial" w:cs="Arial"/>
          <w:color w:val="000000"/>
          <w:lang w:eastAsia="ru-RU"/>
        </w:rPr>
      </w:pPr>
      <w:r w:rsidRPr="003A6BDA">
        <w:rPr>
          <w:rFonts w:ascii="Arial" w:eastAsia="Times New Roman" w:hAnsi="Arial" w:cs="Arial"/>
          <w:color w:val="000000"/>
          <w:lang w:eastAsia="ru-RU"/>
        </w:rPr>
        <w:t>Департамент городского хозяйства и топливно-энергетического комплекса — 5 баллов.</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lastRenderedPageBreak/>
        <w:t xml:space="preserve">По мнению Контрольно-счетной палаты Краснодара, причиной недостаточно высокого уровня эффективности использования средств является несогласованность действий органов администрации и Управления информационно-коммуникационных технологий и связи. В результате обособленность и фрагментарность данных, содержащихся в ИС, несоответствие составов и структур не позволяют в полной мере обеспечить их вовлечение в принятие управленческих решений. Кроме того, выявлен недостаточный уровень знаний в сфере ИТ у сотрудников органов администрации и их подведомственных учреждений, а также отсутствие в органах администрации руководителя, ответственного за осуществление </w:t>
      </w:r>
      <w:proofErr w:type="spellStart"/>
      <w:r w:rsidRPr="003A6BDA">
        <w:rPr>
          <w:rFonts w:ascii="Arial" w:eastAsia="Times New Roman" w:hAnsi="Arial" w:cs="Arial"/>
          <w:color w:val="000000"/>
          <w:sz w:val="24"/>
          <w:szCs w:val="24"/>
          <w:lang w:eastAsia="ru-RU"/>
        </w:rPr>
        <w:t>цифровизации</w:t>
      </w:r>
      <w:proofErr w:type="spellEnd"/>
      <w:r w:rsidRPr="003A6BDA">
        <w:rPr>
          <w:rFonts w:ascii="Arial" w:eastAsia="Times New Roman" w:hAnsi="Arial" w:cs="Arial"/>
          <w:color w:val="000000"/>
          <w:sz w:val="24"/>
          <w:szCs w:val="24"/>
          <w:lang w:eastAsia="ru-RU"/>
        </w:rPr>
        <w:t>.</w:t>
      </w:r>
    </w:p>
    <w:p w:rsidR="003A6BDA" w:rsidRPr="003A6BDA" w:rsidRDefault="003A6BDA" w:rsidP="003A6BDA">
      <w:pPr>
        <w:shd w:val="clear" w:color="auto" w:fill="FFFFFF"/>
        <w:spacing w:before="360" w:after="240" w:line="288" w:lineRule="atLeast"/>
        <w:outlineLvl w:val="2"/>
        <w:rPr>
          <w:rFonts w:ascii="Times New Roman" w:eastAsia="Times New Roman" w:hAnsi="Times New Roman" w:cs="Times New Roman"/>
          <w:b/>
          <w:bCs/>
          <w:color w:val="9F1919"/>
          <w:sz w:val="31"/>
          <w:szCs w:val="31"/>
          <w:lang w:eastAsia="ru-RU"/>
        </w:rPr>
      </w:pPr>
      <w:r w:rsidRPr="003A6BDA">
        <w:rPr>
          <w:rFonts w:ascii="Times New Roman" w:eastAsia="Times New Roman" w:hAnsi="Times New Roman" w:cs="Times New Roman"/>
          <w:b/>
          <w:bCs/>
          <w:color w:val="9F1919"/>
          <w:sz w:val="31"/>
          <w:szCs w:val="31"/>
          <w:lang w:eastAsia="ru-RU"/>
        </w:rPr>
        <w:t>Рекомендации</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Контрольно-счетная палата Краснодара выработала рекомендации по устранению выявленных нарушений и недостатков. Кроме того, предложено:</w:t>
      </w:r>
    </w:p>
    <w:p w:rsidR="003A6BDA" w:rsidRPr="003A6BDA" w:rsidRDefault="003A6BDA" w:rsidP="003A6BDA">
      <w:pPr>
        <w:numPr>
          <w:ilvl w:val="0"/>
          <w:numId w:val="2"/>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рассмотреть возможность создания в структуре Управления информационно-коммуникационных технологий и связи подразделения, ответственного за управление данными (анализ, планирование, повышение эффективности использования);</w:t>
      </w:r>
    </w:p>
    <w:p w:rsidR="003A6BDA" w:rsidRPr="003A6BDA" w:rsidRDefault="003A6BDA" w:rsidP="003A6BDA">
      <w:pPr>
        <w:numPr>
          <w:ilvl w:val="0"/>
          <w:numId w:val="2"/>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рассмотреть возможность создания в структуре МКУ «Электронный Краснодар» подразделения, ответственного за </w:t>
      </w:r>
      <w:proofErr w:type="spellStart"/>
      <w:r w:rsidRPr="003A6BDA">
        <w:rPr>
          <w:rFonts w:ascii="Arial" w:eastAsia="Times New Roman" w:hAnsi="Arial" w:cs="Arial"/>
          <w:color w:val="000000"/>
          <w:sz w:val="24"/>
          <w:szCs w:val="24"/>
          <w:lang w:eastAsia="ru-RU"/>
        </w:rPr>
        <w:t>импортозамещение</w:t>
      </w:r>
      <w:proofErr w:type="spellEnd"/>
      <w:r w:rsidRPr="003A6BDA">
        <w:rPr>
          <w:rFonts w:ascii="Arial" w:eastAsia="Times New Roman" w:hAnsi="Arial" w:cs="Arial"/>
          <w:color w:val="000000"/>
          <w:sz w:val="24"/>
          <w:szCs w:val="24"/>
          <w:lang w:eastAsia="ru-RU"/>
        </w:rPr>
        <w:t xml:space="preserve"> в сфере ИТ (поддержка перехода на отечественное ПО, анализ текущей ситуации и планирование развития);</w:t>
      </w:r>
    </w:p>
    <w:p w:rsidR="003A6BDA" w:rsidRPr="003A6BDA" w:rsidRDefault="003A6BDA" w:rsidP="003A6BDA">
      <w:pPr>
        <w:numPr>
          <w:ilvl w:val="0"/>
          <w:numId w:val="2"/>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разработать ключевые показатели эффективности информационных систем (ресурсов) в Краснодаре для использования при принятии решений о целесообразности их приобретения, создания, модернизации;</w:t>
      </w:r>
    </w:p>
    <w:p w:rsidR="003A6BDA" w:rsidRPr="003A6BDA" w:rsidRDefault="003A6BDA" w:rsidP="003A6BDA">
      <w:pPr>
        <w:numPr>
          <w:ilvl w:val="0"/>
          <w:numId w:val="2"/>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определить в каждом органе администрации и подведомственном им учреждении должностное лицо (не ниже заместителя руководителя), ответственное за осуществление </w:t>
      </w:r>
      <w:proofErr w:type="spellStart"/>
      <w:r w:rsidRPr="003A6BDA">
        <w:rPr>
          <w:rFonts w:ascii="Arial" w:eastAsia="Times New Roman" w:hAnsi="Arial" w:cs="Arial"/>
          <w:color w:val="000000"/>
          <w:sz w:val="24"/>
          <w:szCs w:val="24"/>
          <w:lang w:eastAsia="ru-RU"/>
        </w:rPr>
        <w:t>цифровизации</w:t>
      </w:r>
      <w:proofErr w:type="spellEnd"/>
      <w:r w:rsidRPr="003A6BDA">
        <w:rPr>
          <w:rFonts w:ascii="Arial" w:eastAsia="Times New Roman" w:hAnsi="Arial" w:cs="Arial"/>
          <w:color w:val="000000"/>
          <w:sz w:val="24"/>
          <w:szCs w:val="24"/>
          <w:lang w:eastAsia="ru-RU"/>
        </w:rPr>
        <w:t>, и организовать повышение квалификации таких должностных лиц по соответствующим образовательным программам.</w:t>
      </w:r>
    </w:p>
    <w:p w:rsidR="003A6BDA" w:rsidRPr="003A6BDA" w:rsidRDefault="003A6BDA" w:rsidP="003A6BDA">
      <w:pPr>
        <w:shd w:val="clear" w:color="auto" w:fill="FFFFFF"/>
        <w:spacing w:before="100" w:beforeAutospacing="1" w:after="360" w:line="360" w:lineRule="atLeast"/>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Следует отметить, что, по мнению авторов, для успешного осуществления </w:t>
      </w:r>
      <w:proofErr w:type="spellStart"/>
      <w:r w:rsidRPr="003A6BDA">
        <w:rPr>
          <w:rFonts w:ascii="Arial" w:eastAsia="Times New Roman" w:hAnsi="Arial" w:cs="Arial"/>
          <w:color w:val="000000"/>
          <w:sz w:val="24"/>
          <w:szCs w:val="24"/>
          <w:lang w:eastAsia="ru-RU"/>
        </w:rPr>
        <w:t>цифровизации</w:t>
      </w:r>
      <w:proofErr w:type="spellEnd"/>
      <w:r w:rsidRPr="003A6BDA">
        <w:rPr>
          <w:rFonts w:ascii="Arial" w:eastAsia="Times New Roman" w:hAnsi="Arial" w:cs="Arial"/>
          <w:color w:val="000000"/>
          <w:sz w:val="24"/>
          <w:szCs w:val="24"/>
          <w:lang w:eastAsia="ru-RU"/>
        </w:rPr>
        <w:t xml:space="preserve"> на муниципальном уровне, обеспечения эффективного использования средств бюджета на информационные системы и программные продукты дополнительно необходимы следующие меры:</w:t>
      </w:r>
    </w:p>
    <w:p w:rsidR="003A6BDA" w:rsidRPr="003A6BDA" w:rsidRDefault="003A6BDA" w:rsidP="003A6BDA">
      <w:pPr>
        <w:numPr>
          <w:ilvl w:val="0"/>
          <w:numId w:val="3"/>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lastRenderedPageBreak/>
        <w:t>оказание методической помощи муниципальным образованиям федеральными и региональными органами власти;</w:t>
      </w:r>
    </w:p>
    <w:p w:rsidR="003A6BDA" w:rsidRPr="003A6BDA" w:rsidRDefault="003A6BDA" w:rsidP="003A6BDA">
      <w:pPr>
        <w:numPr>
          <w:ilvl w:val="0"/>
          <w:numId w:val="3"/>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 xml:space="preserve">выявление и тиражирование успешных практик муниципалитетов в сфере </w:t>
      </w:r>
      <w:proofErr w:type="spellStart"/>
      <w:r w:rsidRPr="003A6BDA">
        <w:rPr>
          <w:rFonts w:ascii="Arial" w:eastAsia="Times New Roman" w:hAnsi="Arial" w:cs="Arial"/>
          <w:color w:val="000000"/>
          <w:sz w:val="24"/>
          <w:szCs w:val="24"/>
          <w:lang w:eastAsia="ru-RU"/>
        </w:rPr>
        <w:t>цифровизации</w:t>
      </w:r>
      <w:proofErr w:type="spellEnd"/>
      <w:r w:rsidRPr="003A6BDA">
        <w:rPr>
          <w:rFonts w:ascii="Arial" w:eastAsia="Times New Roman" w:hAnsi="Arial" w:cs="Arial"/>
          <w:color w:val="000000"/>
          <w:sz w:val="24"/>
          <w:szCs w:val="24"/>
          <w:lang w:eastAsia="ru-RU"/>
        </w:rPr>
        <w:t>;</w:t>
      </w:r>
    </w:p>
    <w:p w:rsidR="003A6BDA" w:rsidRPr="003A6BDA" w:rsidRDefault="003A6BDA" w:rsidP="003A6BDA">
      <w:pPr>
        <w:numPr>
          <w:ilvl w:val="0"/>
          <w:numId w:val="3"/>
        </w:numPr>
        <w:shd w:val="clear" w:color="auto" w:fill="FFFFFF"/>
        <w:spacing w:before="100" w:beforeAutospacing="1" w:after="120" w:line="360" w:lineRule="atLeast"/>
        <w:ind w:left="1200"/>
        <w:rPr>
          <w:rFonts w:ascii="Arial" w:eastAsia="Times New Roman" w:hAnsi="Arial" w:cs="Arial"/>
          <w:color w:val="000000"/>
          <w:sz w:val="24"/>
          <w:szCs w:val="24"/>
          <w:lang w:eastAsia="ru-RU"/>
        </w:rPr>
      </w:pPr>
      <w:r w:rsidRPr="003A6BDA">
        <w:rPr>
          <w:rFonts w:ascii="Arial" w:eastAsia="Times New Roman" w:hAnsi="Arial" w:cs="Arial"/>
          <w:color w:val="000000"/>
          <w:sz w:val="24"/>
          <w:szCs w:val="24"/>
          <w:lang w:eastAsia="ru-RU"/>
        </w:rPr>
        <w:t>разработка мероприятий государственных программ, предусматривающих финансирование внедрения лучших информационных систем и программных продуктов на муниципальном уровне.</w:t>
      </w:r>
    </w:p>
    <w:p w:rsidR="009A2226" w:rsidRDefault="009A2226"/>
    <w:sectPr w:rsidR="009A2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7113"/>
    <w:multiLevelType w:val="multilevel"/>
    <w:tmpl w:val="6330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264A8"/>
    <w:multiLevelType w:val="multilevel"/>
    <w:tmpl w:val="972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8045E"/>
    <w:multiLevelType w:val="multilevel"/>
    <w:tmpl w:val="905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E"/>
    <w:rsid w:val="001E6ABE"/>
    <w:rsid w:val="003A6BDA"/>
    <w:rsid w:val="00603D3F"/>
    <w:rsid w:val="009A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E532"/>
  <w15:chartTrackingRefBased/>
  <w15:docId w15:val="{C80FFA63-3B7B-4587-B7DB-22E7A54B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6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6B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A6B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B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6B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A6BD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A6BDA"/>
    <w:rPr>
      <w:color w:val="0000FF"/>
      <w:u w:val="single"/>
    </w:rPr>
  </w:style>
  <w:style w:type="character" w:customStyle="1" w:styleId="fio">
    <w:name w:val="fio"/>
    <w:basedOn w:val="a0"/>
    <w:rsid w:val="003A6BDA"/>
  </w:style>
  <w:style w:type="paragraph" w:customStyle="1" w:styleId="lid">
    <w:name w:val="lid"/>
    <w:basedOn w:val="a"/>
    <w:rsid w:val="003A6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6BDA"/>
    <w:rPr>
      <w:b/>
      <w:bCs/>
    </w:rPr>
  </w:style>
  <w:style w:type="paragraph" w:styleId="a5">
    <w:name w:val="Normal (Web)"/>
    <w:basedOn w:val="a"/>
    <w:uiPriority w:val="99"/>
    <w:semiHidden/>
    <w:unhideWhenUsed/>
    <w:rsid w:val="003A6B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05">
      <w:bodyDiv w:val="1"/>
      <w:marLeft w:val="0"/>
      <w:marRight w:val="0"/>
      <w:marTop w:val="0"/>
      <w:marBottom w:val="0"/>
      <w:divBdr>
        <w:top w:val="none" w:sz="0" w:space="0" w:color="auto"/>
        <w:left w:val="none" w:sz="0" w:space="0" w:color="auto"/>
        <w:bottom w:val="none" w:sz="0" w:space="0" w:color="auto"/>
        <w:right w:val="none" w:sz="0" w:space="0" w:color="auto"/>
      </w:divBdr>
      <w:divsChild>
        <w:div w:id="305742484">
          <w:marLeft w:val="0"/>
          <w:marRight w:val="0"/>
          <w:marTop w:val="0"/>
          <w:marBottom w:val="0"/>
          <w:divBdr>
            <w:top w:val="none" w:sz="0" w:space="0" w:color="DDDDDD"/>
            <w:left w:val="none" w:sz="0" w:space="0" w:color="DDDDDD"/>
            <w:bottom w:val="single" w:sz="6" w:space="0" w:color="DDDDDD"/>
            <w:right w:val="none" w:sz="0" w:space="0" w:color="DDDDDD"/>
          </w:divBdr>
          <w:divsChild>
            <w:div w:id="378744582">
              <w:marLeft w:val="0"/>
              <w:marRight w:val="0"/>
              <w:marTop w:val="0"/>
              <w:marBottom w:val="0"/>
              <w:divBdr>
                <w:top w:val="none" w:sz="0" w:space="0" w:color="auto"/>
                <w:left w:val="none" w:sz="0" w:space="0" w:color="auto"/>
                <w:bottom w:val="none" w:sz="0" w:space="0" w:color="auto"/>
                <w:right w:val="none" w:sz="0" w:space="0" w:color="auto"/>
              </w:divBdr>
              <w:divsChild>
                <w:div w:id="638151526">
                  <w:marLeft w:val="0"/>
                  <w:marRight w:val="0"/>
                  <w:marTop w:val="0"/>
                  <w:marBottom w:val="0"/>
                  <w:divBdr>
                    <w:top w:val="none" w:sz="0" w:space="0" w:color="auto"/>
                    <w:left w:val="none" w:sz="0" w:space="0" w:color="auto"/>
                    <w:bottom w:val="none" w:sz="0" w:space="0" w:color="auto"/>
                    <w:right w:val="none" w:sz="0" w:space="0" w:color="auto"/>
                  </w:divBdr>
                </w:div>
                <w:div w:id="1282691115">
                  <w:marLeft w:val="0"/>
                  <w:marRight w:val="0"/>
                  <w:marTop w:val="0"/>
                  <w:marBottom w:val="0"/>
                  <w:divBdr>
                    <w:top w:val="single" w:sz="6" w:space="0" w:color="DDDDDD"/>
                    <w:left w:val="single" w:sz="6" w:space="0" w:color="DDDDDD"/>
                    <w:bottom w:val="single" w:sz="6" w:space="0" w:color="DDDDDD"/>
                    <w:right w:val="single" w:sz="6" w:space="0" w:color="DDDDDD"/>
                  </w:divBdr>
                  <w:divsChild>
                    <w:div w:id="2090105493">
                      <w:marLeft w:val="0"/>
                      <w:marRight w:val="0"/>
                      <w:marTop w:val="0"/>
                      <w:marBottom w:val="0"/>
                      <w:divBdr>
                        <w:top w:val="none" w:sz="0" w:space="0" w:color="auto"/>
                        <w:left w:val="none" w:sz="0" w:space="0" w:color="auto"/>
                        <w:bottom w:val="none" w:sz="0" w:space="0" w:color="auto"/>
                        <w:right w:val="none" w:sz="0" w:space="0" w:color="auto"/>
                      </w:divBdr>
                    </w:div>
                  </w:divsChild>
                </w:div>
                <w:div w:id="520631777">
                  <w:marLeft w:val="0"/>
                  <w:marRight w:val="0"/>
                  <w:marTop w:val="0"/>
                  <w:marBottom w:val="0"/>
                  <w:divBdr>
                    <w:top w:val="single" w:sz="6" w:space="0" w:color="DDDDDD"/>
                    <w:left w:val="single" w:sz="6" w:space="0" w:color="DDDDDD"/>
                    <w:bottom w:val="single" w:sz="6" w:space="0" w:color="DDDDDD"/>
                    <w:right w:val="single" w:sz="6" w:space="0" w:color="DDDDDD"/>
                  </w:divBdr>
                  <w:divsChild>
                    <w:div w:id="5994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8242">
          <w:marLeft w:val="0"/>
          <w:marRight w:val="0"/>
          <w:marTop w:val="0"/>
          <w:marBottom w:val="480"/>
          <w:divBdr>
            <w:top w:val="none" w:sz="0" w:space="0" w:color="auto"/>
            <w:left w:val="single" w:sz="6" w:space="24" w:color="9F191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rufincontrol.ru/online/whitepages/4172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rufincontrol.ru/online/whitepages/225179/"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2352</Words>
  <Characters>13409</Characters>
  <Application>Microsoft Office Word</Application>
  <DocSecurity>0</DocSecurity>
  <Lines>111</Lines>
  <Paragraphs>31</Paragraphs>
  <ScaleCrop>false</ScaleCrop>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Чулкова Е.Г.</dc:creator>
  <cp:keywords/>
  <dc:description/>
  <cp:lastModifiedBy>Чулкова Е.Г.</cp:lastModifiedBy>
  <cp:revision>3</cp:revision>
  <dcterms:created xsi:type="dcterms:W3CDTF">2023-06-02T12:52:00Z</dcterms:created>
  <dcterms:modified xsi:type="dcterms:W3CDTF">2023-06-02T12:56:00Z</dcterms:modified>
</cp:coreProperties>
</file>