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CB6" w:rsidRDefault="00847CB6" w:rsidP="00847CB6">
      <w:pPr>
        <w:pStyle w:val="a4"/>
        <w:shd w:val="clear" w:color="auto" w:fill="FFFFFF"/>
        <w:spacing w:after="0"/>
        <w:jc w:val="both"/>
        <w:rPr>
          <w:rFonts w:ascii="Times New Roman" w:hAnsi="Times New Roman"/>
          <w:b/>
          <w:sz w:val="28"/>
          <w:szCs w:val="28"/>
        </w:rPr>
      </w:pPr>
      <w:r>
        <w:rPr>
          <w:rFonts w:ascii="Times New Roman" w:hAnsi="Times New Roman"/>
          <w:b/>
          <w:sz w:val="28"/>
          <w:szCs w:val="28"/>
        </w:rPr>
        <w:t xml:space="preserve">Статья </w:t>
      </w:r>
      <w:proofErr w:type="spellStart"/>
      <w:r>
        <w:rPr>
          <w:rFonts w:ascii="Times New Roman" w:hAnsi="Times New Roman"/>
          <w:b/>
          <w:sz w:val="28"/>
          <w:szCs w:val="28"/>
        </w:rPr>
        <w:t>Курузова</w:t>
      </w:r>
      <w:proofErr w:type="spellEnd"/>
      <w:r>
        <w:rPr>
          <w:rFonts w:ascii="Times New Roman" w:hAnsi="Times New Roman"/>
          <w:b/>
          <w:sz w:val="28"/>
          <w:szCs w:val="28"/>
        </w:rPr>
        <w:t xml:space="preserve"> М.В. – главного специалиста экспертно-аналитического отдела  в научно-практическом журнале Вестник АКСОР №4/2011 (19)</w:t>
      </w:r>
    </w:p>
    <w:p w:rsidR="00847CB6" w:rsidRDefault="00847CB6" w:rsidP="00847CB6">
      <w:pPr>
        <w:pStyle w:val="a4"/>
        <w:shd w:val="clear" w:color="auto" w:fill="FFFFFF"/>
        <w:spacing w:after="0"/>
        <w:jc w:val="center"/>
        <w:rPr>
          <w:rFonts w:ascii="Times New Roman" w:hAnsi="Times New Roman"/>
          <w:b/>
          <w:sz w:val="28"/>
          <w:szCs w:val="28"/>
        </w:rPr>
      </w:pPr>
    </w:p>
    <w:p w:rsidR="00847CB6" w:rsidRPr="00BB6905" w:rsidRDefault="00847CB6" w:rsidP="00847CB6">
      <w:pPr>
        <w:pStyle w:val="a4"/>
        <w:shd w:val="clear" w:color="auto" w:fill="FFFFFF"/>
        <w:spacing w:after="0"/>
        <w:jc w:val="center"/>
        <w:rPr>
          <w:rFonts w:ascii="Times New Roman" w:hAnsi="Times New Roman"/>
          <w:sz w:val="28"/>
          <w:szCs w:val="28"/>
        </w:rPr>
      </w:pPr>
      <w:r w:rsidRPr="00BB6905">
        <w:rPr>
          <w:rFonts w:ascii="Times New Roman" w:hAnsi="Times New Roman"/>
          <w:sz w:val="28"/>
          <w:szCs w:val="28"/>
        </w:rPr>
        <w:t xml:space="preserve">МУНИЦИПАЛЬНОЕ ЗАДАНИЕ: ФОРМИРОВАНИЕ </w:t>
      </w:r>
    </w:p>
    <w:p w:rsidR="00847CB6" w:rsidRPr="00BB6905" w:rsidRDefault="00847CB6" w:rsidP="00847CB6">
      <w:pPr>
        <w:pStyle w:val="a4"/>
        <w:shd w:val="clear" w:color="auto" w:fill="FFFFFF"/>
        <w:spacing w:after="0"/>
        <w:jc w:val="center"/>
        <w:rPr>
          <w:rFonts w:ascii="Times New Roman" w:hAnsi="Times New Roman"/>
          <w:sz w:val="28"/>
          <w:szCs w:val="28"/>
        </w:rPr>
      </w:pPr>
      <w:r w:rsidRPr="00BB6905">
        <w:rPr>
          <w:rFonts w:ascii="Times New Roman" w:hAnsi="Times New Roman"/>
          <w:sz w:val="28"/>
          <w:szCs w:val="28"/>
        </w:rPr>
        <w:t xml:space="preserve">И </w:t>
      </w:r>
      <w:proofErr w:type="gramStart"/>
      <w:r w:rsidRPr="00BB6905">
        <w:rPr>
          <w:rFonts w:ascii="Times New Roman" w:hAnsi="Times New Roman"/>
          <w:sz w:val="28"/>
          <w:szCs w:val="28"/>
        </w:rPr>
        <w:t>КОНТРОЛЬ ЗА</w:t>
      </w:r>
      <w:proofErr w:type="gramEnd"/>
      <w:r w:rsidRPr="00BB6905">
        <w:rPr>
          <w:rFonts w:ascii="Times New Roman" w:hAnsi="Times New Roman"/>
          <w:sz w:val="28"/>
          <w:szCs w:val="28"/>
        </w:rPr>
        <w:t xml:space="preserve"> ИСПОЛНЕНИЕМ</w:t>
      </w:r>
    </w:p>
    <w:p w:rsidR="00847CB6" w:rsidRPr="000E2911" w:rsidRDefault="00847CB6" w:rsidP="00847CB6">
      <w:pPr>
        <w:pStyle w:val="a4"/>
        <w:shd w:val="clear" w:color="auto" w:fill="FFFFFF"/>
        <w:spacing w:after="0"/>
        <w:jc w:val="center"/>
        <w:rPr>
          <w:rFonts w:ascii="Times New Roman" w:hAnsi="Times New Roman"/>
          <w:b/>
          <w:sz w:val="28"/>
          <w:szCs w:val="28"/>
        </w:rPr>
      </w:pPr>
    </w:p>
    <w:p w:rsidR="00847CB6" w:rsidRPr="006341DE" w:rsidRDefault="00847CB6" w:rsidP="00847CB6">
      <w:pPr>
        <w:ind w:firstLine="708"/>
        <w:jc w:val="both"/>
        <w:rPr>
          <w:color w:val="000000"/>
          <w:sz w:val="28"/>
          <w:szCs w:val="28"/>
        </w:rPr>
      </w:pPr>
      <w:r w:rsidRPr="006341DE">
        <w:rPr>
          <w:color w:val="000000"/>
          <w:sz w:val="28"/>
          <w:szCs w:val="28"/>
        </w:rPr>
        <w:t xml:space="preserve">В статье отражены проблемы перехода муниципальных бюджетных учреждений от сметного финансирования на </w:t>
      </w:r>
      <w:proofErr w:type="gramStart"/>
      <w:r w:rsidRPr="006341DE">
        <w:rPr>
          <w:color w:val="000000"/>
          <w:sz w:val="28"/>
          <w:szCs w:val="28"/>
        </w:rPr>
        <w:t>субсидиарное</w:t>
      </w:r>
      <w:proofErr w:type="gramEnd"/>
      <w:r w:rsidRPr="006341DE">
        <w:rPr>
          <w:color w:val="000000"/>
          <w:sz w:val="28"/>
          <w:szCs w:val="28"/>
        </w:rPr>
        <w:t xml:space="preserve"> в рамках исполнения муниципального задания. </w:t>
      </w:r>
      <w:proofErr w:type="gramStart"/>
      <w:r w:rsidRPr="006341DE">
        <w:rPr>
          <w:color w:val="000000"/>
          <w:sz w:val="28"/>
          <w:szCs w:val="28"/>
        </w:rPr>
        <w:t>Отмечены основные критерии показателей качества и объёма оказания муниципальной услуги,  возможности бюджетного учреждения по привлечению дополнительных средств по приносящей доход деятельности, пробелы законодательства, требующие доработки в переходный период, важность контроля учредителя за исполнением муниципального задания.</w:t>
      </w:r>
      <w:proofErr w:type="gramEnd"/>
    </w:p>
    <w:p w:rsidR="00847CB6" w:rsidRDefault="00847CB6" w:rsidP="00847CB6">
      <w:pPr>
        <w:ind w:firstLine="708"/>
        <w:jc w:val="both"/>
        <w:rPr>
          <w:color w:val="000000"/>
          <w:sz w:val="28"/>
          <w:szCs w:val="28"/>
        </w:rPr>
      </w:pPr>
      <w:r w:rsidRPr="006341DE">
        <w:rPr>
          <w:b/>
          <w:color w:val="000000"/>
          <w:sz w:val="28"/>
          <w:szCs w:val="28"/>
        </w:rPr>
        <w:t>Ключевые слова:</w:t>
      </w:r>
      <w:r w:rsidRPr="006341DE">
        <w:rPr>
          <w:color w:val="000000"/>
          <w:sz w:val="28"/>
          <w:szCs w:val="28"/>
        </w:rPr>
        <w:t xml:space="preserve"> муниципальное учреждение, муниципальное задание, муниципальная услуга, субсидия, показатели качества.</w:t>
      </w:r>
    </w:p>
    <w:p w:rsidR="00847CB6" w:rsidRPr="009F10A9" w:rsidRDefault="00847CB6" w:rsidP="00847CB6">
      <w:pPr>
        <w:pStyle w:val="a4"/>
        <w:shd w:val="clear" w:color="auto" w:fill="FFFFFF"/>
        <w:spacing w:after="0"/>
        <w:ind w:firstLine="708"/>
        <w:jc w:val="both"/>
        <w:rPr>
          <w:rStyle w:val="apple-style-span"/>
          <w:rFonts w:ascii="Times New Roman" w:hAnsi="Times New Roman"/>
          <w:sz w:val="28"/>
          <w:szCs w:val="28"/>
        </w:rPr>
      </w:pPr>
      <w:r w:rsidRPr="009F10A9">
        <w:rPr>
          <w:rStyle w:val="apple-style-span"/>
          <w:rFonts w:ascii="Times New Roman" w:hAnsi="Times New Roman"/>
          <w:bCs/>
          <w:color w:val="262626"/>
          <w:sz w:val="28"/>
          <w:szCs w:val="28"/>
          <w:shd w:val="clear" w:color="auto" w:fill="FFFFFF"/>
        </w:rPr>
        <w:t>В числе основных  задач бюджетной политики, сформулированных</w:t>
      </w:r>
      <w:r w:rsidRPr="009F10A9">
        <w:rPr>
          <w:rStyle w:val="apple-style-span"/>
          <w:rFonts w:ascii="Times New Roman" w:hAnsi="Times New Roman"/>
          <w:b/>
          <w:bCs/>
          <w:color w:val="262626"/>
          <w:sz w:val="28"/>
          <w:szCs w:val="28"/>
          <w:shd w:val="clear" w:color="auto" w:fill="FFFFFF"/>
        </w:rPr>
        <w:t xml:space="preserve"> </w:t>
      </w:r>
      <w:r w:rsidRPr="009F10A9">
        <w:rPr>
          <w:rFonts w:ascii="Times New Roman" w:hAnsi="Times New Roman"/>
          <w:sz w:val="28"/>
          <w:szCs w:val="28"/>
        </w:rPr>
        <w:t xml:space="preserve">в Бюджетном послании Президента Российской Федерации «О бюджетной политике в 2012–2014 годах», названо </w:t>
      </w:r>
      <w:r w:rsidRPr="009F10A9">
        <w:rPr>
          <w:rStyle w:val="apple-style-span"/>
          <w:rFonts w:ascii="Times New Roman" w:hAnsi="Times New Roman"/>
          <w:color w:val="262626"/>
          <w:sz w:val="28"/>
          <w:szCs w:val="28"/>
          <w:shd w:val="clear" w:color="auto" w:fill="FFFFFF"/>
        </w:rPr>
        <w:t>повышение отдачи от использования государственных расходов, в том числе за счёт формирования рациональной сети государственных учреждений и улучшения качества оказываемых ими услуг.</w:t>
      </w:r>
    </w:p>
    <w:p w:rsidR="00847CB6" w:rsidRPr="009F10A9" w:rsidRDefault="00847CB6" w:rsidP="00847CB6">
      <w:pPr>
        <w:pStyle w:val="a4"/>
        <w:spacing w:after="0"/>
        <w:ind w:firstLine="708"/>
        <w:jc w:val="both"/>
        <w:rPr>
          <w:rFonts w:ascii="Times New Roman" w:hAnsi="Times New Roman"/>
          <w:color w:val="262626"/>
          <w:sz w:val="28"/>
          <w:szCs w:val="28"/>
          <w:shd w:val="clear" w:color="auto" w:fill="FFFFFF"/>
        </w:rPr>
      </w:pPr>
      <w:r w:rsidRPr="009F10A9">
        <w:rPr>
          <w:rFonts w:ascii="Times New Roman" w:hAnsi="Times New Roman"/>
          <w:color w:val="262626"/>
          <w:sz w:val="28"/>
          <w:szCs w:val="28"/>
          <w:shd w:val="clear" w:color="auto" w:fill="FFFFFF"/>
        </w:rPr>
        <w:t xml:space="preserve">Первого </w:t>
      </w:r>
      <w:r w:rsidRPr="009F10A9">
        <w:rPr>
          <w:rFonts w:ascii="Times New Roman" w:hAnsi="Times New Roman"/>
          <w:sz w:val="28"/>
          <w:szCs w:val="28"/>
          <w:shd w:val="clear" w:color="auto" w:fill="FFFFFF"/>
        </w:rPr>
        <w:t>июля 2012 года</w:t>
      </w:r>
      <w:r w:rsidRPr="009F10A9">
        <w:rPr>
          <w:rFonts w:ascii="Times New Roman" w:hAnsi="Times New Roman"/>
          <w:color w:val="262626"/>
          <w:sz w:val="28"/>
          <w:szCs w:val="28"/>
          <w:shd w:val="clear" w:color="auto" w:fill="FFFFFF"/>
        </w:rPr>
        <w:t xml:space="preserve"> завершается переходный период введения новых форм оказания и финансового обеспечения государственных услуг на региональном и местном уровне. </w:t>
      </w:r>
      <w:r>
        <w:rPr>
          <w:rFonts w:ascii="Times New Roman" w:hAnsi="Times New Roman"/>
          <w:color w:val="262626"/>
          <w:sz w:val="28"/>
          <w:szCs w:val="28"/>
          <w:shd w:val="clear" w:color="auto" w:fill="FFFFFF"/>
        </w:rPr>
        <w:t>Несмотря на это</w:t>
      </w:r>
      <w:r w:rsidRPr="009F10A9">
        <w:rPr>
          <w:rFonts w:ascii="Times New Roman" w:hAnsi="Times New Roman"/>
          <w:color w:val="262626"/>
          <w:sz w:val="28"/>
          <w:szCs w:val="28"/>
          <w:shd w:val="clear" w:color="auto" w:fill="FFFFFF"/>
        </w:rPr>
        <w:t xml:space="preserve">, остаётся достаточно проблем, возникающих при формировании муниципального задания, являющегося одним из инструментов </w:t>
      </w:r>
      <w:proofErr w:type="spellStart"/>
      <w:r w:rsidRPr="009F10A9">
        <w:rPr>
          <w:rFonts w:ascii="Times New Roman" w:hAnsi="Times New Roman"/>
          <w:color w:val="262626"/>
          <w:sz w:val="28"/>
          <w:szCs w:val="28"/>
          <w:shd w:val="clear" w:color="auto" w:fill="FFFFFF"/>
        </w:rPr>
        <w:t>бюджетирования</w:t>
      </w:r>
      <w:proofErr w:type="spellEnd"/>
      <w:r w:rsidRPr="009F10A9">
        <w:rPr>
          <w:rFonts w:ascii="Times New Roman" w:hAnsi="Times New Roman"/>
          <w:color w:val="262626"/>
          <w:sz w:val="28"/>
          <w:szCs w:val="28"/>
          <w:shd w:val="clear" w:color="auto" w:fill="FFFFFF"/>
        </w:rPr>
        <w:t>, ориентированного на результат (БОР)</w:t>
      </w:r>
      <w:r>
        <w:rPr>
          <w:rFonts w:ascii="Times New Roman" w:hAnsi="Times New Roman"/>
          <w:color w:val="262626"/>
          <w:sz w:val="28"/>
          <w:szCs w:val="28"/>
          <w:shd w:val="clear" w:color="auto" w:fill="FFFFFF"/>
        </w:rPr>
        <w:t xml:space="preserve">, </w:t>
      </w:r>
      <w:proofErr w:type="gramStart"/>
      <w:r>
        <w:rPr>
          <w:rFonts w:ascii="Times New Roman" w:hAnsi="Times New Roman"/>
          <w:color w:val="262626"/>
          <w:sz w:val="28"/>
          <w:szCs w:val="28"/>
          <w:shd w:val="clear" w:color="auto" w:fill="FFFFFF"/>
        </w:rPr>
        <w:t>контроле за</w:t>
      </w:r>
      <w:proofErr w:type="gramEnd"/>
      <w:r>
        <w:rPr>
          <w:rFonts w:ascii="Times New Roman" w:hAnsi="Times New Roman"/>
          <w:color w:val="262626"/>
          <w:sz w:val="28"/>
          <w:szCs w:val="28"/>
          <w:shd w:val="clear" w:color="auto" w:fill="FFFFFF"/>
        </w:rPr>
        <w:t xml:space="preserve"> его исполнением</w:t>
      </w:r>
      <w:r w:rsidRPr="009F10A9">
        <w:rPr>
          <w:rFonts w:ascii="Times New Roman" w:hAnsi="Times New Roman"/>
          <w:color w:val="262626"/>
          <w:sz w:val="28"/>
          <w:szCs w:val="28"/>
          <w:shd w:val="clear" w:color="auto" w:fill="FFFFFF"/>
        </w:rPr>
        <w:t xml:space="preserve">. Сущность системы БОР заключается в распределении бюджетных ресурсов между администраторами бюджетных средств и (или) реализуемыми ими бюджетными программами с учётом или в прямой зависимости от достижения конкретных результатов (предоставляемых услуг) в соответствии со среднесрочными приоритетами социально-экономической политики и в пределах долгосрочных объёмов бюджетных </w:t>
      </w:r>
      <w:r>
        <w:rPr>
          <w:rFonts w:ascii="Times New Roman" w:hAnsi="Times New Roman"/>
          <w:color w:val="262626"/>
          <w:sz w:val="28"/>
          <w:szCs w:val="28"/>
          <w:shd w:val="clear" w:color="auto" w:fill="FFFFFF"/>
        </w:rPr>
        <w:t>ресурсов («потолков» расходов)</w:t>
      </w:r>
      <w:r w:rsidRPr="009F10A9">
        <w:rPr>
          <w:rFonts w:ascii="Times New Roman" w:hAnsi="Times New Roman"/>
          <w:color w:val="262626"/>
          <w:sz w:val="28"/>
          <w:szCs w:val="28"/>
          <w:shd w:val="clear" w:color="auto" w:fill="FFFFFF"/>
        </w:rPr>
        <w:t>. Проверки, проведённые Контрольно-счётной палатой муниципального образования город Краснодар, доказывают, что на практике пока слабо удаётся увязать желаемые результаты с объёмами финансирования.</w:t>
      </w:r>
    </w:p>
    <w:p w:rsidR="00847CB6" w:rsidRPr="009F10A9" w:rsidRDefault="00847CB6" w:rsidP="00847CB6">
      <w:pPr>
        <w:pStyle w:val="a4"/>
        <w:shd w:val="clear" w:color="auto" w:fill="FFFFFF"/>
        <w:spacing w:after="0"/>
        <w:ind w:firstLine="708"/>
        <w:jc w:val="both"/>
        <w:rPr>
          <w:rFonts w:ascii="Times New Roman" w:hAnsi="Times New Roman"/>
          <w:sz w:val="28"/>
          <w:szCs w:val="28"/>
        </w:rPr>
      </w:pPr>
      <w:r w:rsidRPr="009F10A9">
        <w:rPr>
          <w:rFonts w:ascii="Times New Roman" w:hAnsi="Times New Roman"/>
          <w:color w:val="262626"/>
          <w:sz w:val="28"/>
          <w:szCs w:val="28"/>
          <w:shd w:val="clear" w:color="auto" w:fill="FFFFFF"/>
        </w:rPr>
        <w:t xml:space="preserve">Одним из основных требований к муниципальной услуге является её качественное  оказание с целью повышения удовлетворённости потребителей и привлечения большего их количества. Парадокс заключается в том, что в течение финансового года при изменении муниципального задания </w:t>
      </w:r>
      <w:r w:rsidRPr="009F10A9">
        <w:rPr>
          <w:rFonts w:ascii="Times New Roman" w:hAnsi="Times New Roman"/>
          <w:sz w:val="28"/>
          <w:szCs w:val="28"/>
        </w:rPr>
        <w:t>субсидия на его выполнение корректируется только в сторону уменьшения, что указано в  ст.</w:t>
      </w:r>
      <w:r>
        <w:rPr>
          <w:rFonts w:ascii="Times New Roman" w:hAnsi="Times New Roman"/>
          <w:sz w:val="28"/>
          <w:szCs w:val="28"/>
        </w:rPr>
        <w:t xml:space="preserve"> </w:t>
      </w:r>
      <w:r w:rsidRPr="009F10A9">
        <w:rPr>
          <w:rFonts w:ascii="Times New Roman" w:hAnsi="Times New Roman"/>
          <w:sz w:val="28"/>
          <w:szCs w:val="28"/>
        </w:rPr>
        <w:t xml:space="preserve">9.2. Федерального закона от 12 января </w:t>
      </w:r>
      <w:smartTag w:uri="urn:schemas-microsoft-com:office:smarttags" w:element="metricconverter">
        <w:smartTagPr>
          <w:attr w:name="ProductID" w:val="1996 г"/>
        </w:smartTagPr>
        <w:r w:rsidRPr="009F10A9">
          <w:rPr>
            <w:rFonts w:ascii="Times New Roman" w:hAnsi="Times New Roman"/>
            <w:sz w:val="28"/>
            <w:szCs w:val="28"/>
          </w:rPr>
          <w:t>1996 г</w:t>
        </w:r>
      </w:smartTag>
      <w:r w:rsidRPr="009F10A9">
        <w:rPr>
          <w:rFonts w:ascii="Times New Roman" w:hAnsi="Times New Roman"/>
          <w:sz w:val="28"/>
          <w:szCs w:val="28"/>
        </w:rPr>
        <w:t xml:space="preserve">. № 7-ФЗ «О некоммерческих организациях». Качественное выполнение услуги нередко требует дополнительных  затрат, которые часто невозможно предвидеть до </w:t>
      </w:r>
      <w:r w:rsidRPr="009F10A9">
        <w:rPr>
          <w:rFonts w:ascii="Times New Roman" w:hAnsi="Times New Roman"/>
          <w:sz w:val="28"/>
          <w:szCs w:val="28"/>
        </w:rPr>
        <w:lastRenderedPageBreak/>
        <w:t>начала процесса выполнения задания.  В итоге  нередки ситуации, когда муниципалитет  из-за отсутствия необходимых финансовых ресурсов не в состоянии выполнить услугу на высоком качественном уровне</w:t>
      </w:r>
      <w:r>
        <w:rPr>
          <w:rFonts w:ascii="Times New Roman" w:hAnsi="Times New Roman"/>
          <w:sz w:val="28"/>
          <w:szCs w:val="28"/>
        </w:rPr>
        <w:t>.</w:t>
      </w:r>
      <w:r w:rsidRPr="009F10A9">
        <w:rPr>
          <w:rFonts w:ascii="Times New Roman" w:hAnsi="Times New Roman"/>
          <w:sz w:val="28"/>
          <w:szCs w:val="28"/>
        </w:rPr>
        <w:t xml:space="preserve"> </w:t>
      </w:r>
      <w:r>
        <w:rPr>
          <w:rFonts w:ascii="Times New Roman" w:hAnsi="Times New Roman"/>
          <w:sz w:val="28"/>
          <w:szCs w:val="28"/>
        </w:rPr>
        <w:t>Б</w:t>
      </w:r>
      <w:r w:rsidRPr="009F10A9">
        <w:rPr>
          <w:rFonts w:ascii="Times New Roman" w:hAnsi="Times New Roman"/>
          <w:sz w:val="28"/>
          <w:szCs w:val="28"/>
        </w:rPr>
        <w:t xml:space="preserve">олее того,    качественное выполнение муниципального задания в большинстве случаев становится невыгодным для муниципального учреждения. Особенно это касается тех услуг, </w:t>
      </w:r>
      <w:r>
        <w:rPr>
          <w:rFonts w:ascii="Times New Roman" w:hAnsi="Times New Roman"/>
          <w:sz w:val="28"/>
          <w:szCs w:val="28"/>
        </w:rPr>
        <w:t>которые</w:t>
      </w:r>
      <w:r w:rsidRPr="009F10A9">
        <w:rPr>
          <w:rFonts w:ascii="Times New Roman" w:hAnsi="Times New Roman"/>
          <w:sz w:val="28"/>
          <w:szCs w:val="28"/>
        </w:rPr>
        <w:t xml:space="preserve"> требу</w:t>
      </w:r>
      <w:r>
        <w:rPr>
          <w:rFonts w:ascii="Times New Roman" w:hAnsi="Times New Roman"/>
          <w:sz w:val="28"/>
          <w:szCs w:val="28"/>
        </w:rPr>
        <w:t>ю</w:t>
      </w:r>
      <w:r w:rsidRPr="009F10A9">
        <w:rPr>
          <w:rFonts w:ascii="Times New Roman" w:hAnsi="Times New Roman"/>
          <w:sz w:val="28"/>
          <w:szCs w:val="28"/>
        </w:rPr>
        <w:t xml:space="preserve">т не только </w:t>
      </w:r>
      <w:r>
        <w:rPr>
          <w:rFonts w:ascii="Times New Roman" w:hAnsi="Times New Roman"/>
          <w:sz w:val="28"/>
          <w:szCs w:val="28"/>
        </w:rPr>
        <w:t xml:space="preserve">значительных трудовых и интеллектуальных затрат, </w:t>
      </w:r>
      <w:r w:rsidRPr="009F10A9">
        <w:rPr>
          <w:rFonts w:ascii="Times New Roman" w:hAnsi="Times New Roman"/>
          <w:sz w:val="28"/>
          <w:szCs w:val="28"/>
        </w:rPr>
        <w:t>но и  определенн</w:t>
      </w:r>
      <w:r>
        <w:rPr>
          <w:rFonts w:ascii="Times New Roman" w:hAnsi="Times New Roman"/>
          <w:sz w:val="28"/>
          <w:szCs w:val="28"/>
        </w:rPr>
        <w:t>ого</w:t>
      </w:r>
      <w:r w:rsidRPr="009F10A9">
        <w:rPr>
          <w:rFonts w:ascii="Times New Roman" w:hAnsi="Times New Roman"/>
          <w:sz w:val="28"/>
          <w:szCs w:val="28"/>
        </w:rPr>
        <w:t xml:space="preserve"> прирост</w:t>
      </w:r>
      <w:r>
        <w:rPr>
          <w:rFonts w:ascii="Times New Roman" w:hAnsi="Times New Roman"/>
          <w:sz w:val="28"/>
          <w:szCs w:val="28"/>
        </w:rPr>
        <w:t>а</w:t>
      </w:r>
      <w:r w:rsidRPr="009F10A9">
        <w:rPr>
          <w:rFonts w:ascii="Times New Roman" w:hAnsi="Times New Roman"/>
          <w:sz w:val="28"/>
          <w:szCs w:val="28"/>
        </w:rPr>
        <w:t xml:space="preserve"> основных и оборотных средств (проведение спектаклей, концертов).  В  меньшей  степени это относится к услугам с преобладанием постоянных издержек (информационно-библиотечное обслуживание населения). </w:t>
      </w:r>
    </w:p>
    <w:p w:rsidR="00847CB6" w:rsidRPr="009F10A9" w:rsidRDefault="00847CB6" w:rsidP="00847CB6">
      <w:pPr>
        <w:pStyle w:val="a4"/>
        <w:shd w:val="clear" w:color="auto" w:fill="FFFFFF"/>
        <w:spacing w:after="0"/>
        <w:ind w:firstLine="708"/>
        <w:jc w:val="both"/>
        <w:rPr>
          <w:rFonts w:ascii="Times New Roman" w:hAnsi="Times New Roman"/>
          <w:sz w:val="28"/>
          <w:szCs w:val="28"/>
        </w:rPr>
      </w:pPr>
      <w:r w:rsidRPr="009F10A9">
        <w:rPr>
          <w:rFonts w:ascii="Times New Roman" w:hAnsi="Times New Roman"/>
          <w:sz w:val="28"/>
          <w:szCs w:val="28"/>
        </w:rPr>
        <w:t xml:space="preserve">Рациональным выходом из данной ситуации нам видится расходование средств </w:t>
      </w:r>
      <w:proofErr w:type="gramStart"/>
      <w:r w:rsidRPr="009F10A9">
        <w:rPr>
          <w:rFonts w:ascii="Times New Roman" w:hAnsi="Times New Roman"/>
          <w:sz w:val="28"/>
          <w:szCs w:val="28"/>
        </w:rPr>
        <w:t xml:space="preserve">на оказание услуг сверх нормативного финансирования </w:t>
      </w:r>
      <w:r w:rsidRPr="009F10A9">
        <w:rPr>
          <w:rFonts w:ascii="Times New Roman" w:hAnsi="Times New Roman"/>
          <w:color w:val="00B050"/>
          <w:sz w:val="28"/>
          <w:szCs w:val="28"/>
        </w:rPr>
        <w:t xml:space="preserve"> </w:t>
      </w:r>
      <w:r w:rsidRPr="009F10A9">
        <w:rPr>
          <w:rFonts w:ascii="Times New Roman" w:hAnsi="Times New Roman"/>
          <w:sz w:val="28"/>
          <w:szCs w:val="28"/>
        </w:rPr>
        <w:t>с целью перерасчёта нормативных затрат  в следующем финансовом году с учётом</w:t>
      </w:r>
      <w:proofErr w:type="gramEnd"/>
      <w:r w:rsidRPr="009F10A9">
        <w:rPr>
          <w:rFonts w:ascii="Times New Roman" w:hAnsi="Times New Roman"/>
          <w:sz w:val="28"/>
          <w:szCs w:val="28"/>
        </w:rPr>
        <w:t xml:space="preserve"> показателей текущего года. Муниципалитету необходимо законодательно  определить механизм корректировки муниципального задания  в случае превышения фактических  </w:t>
      </w:r>
      <w:r w:rsidRPr="009F10A9">
        <w:rPr>
          <w:rFonts w:ascii="Times New Roman" w:hAnsi="Times New Roman"/>
          <w:color w:val="000000" w:themeColor="text1"/>
          <w:sz w:val="28"/>
          <w:szCs w:val="28"/>
        </w:rPr>
        <w:t>затрат</w:t>
      </w:r>
      <w:r w:rsidRPr="009F10A9">
        <w:rPr>
          <w:rFonts w:ascii="Times New Roman" w:hAnsi="Times New Roman"/>
          <w:color w:val="FF0000"/>
          <w:sz w:val="28"/>
          <w:szCs w:val="28"/>
        </w:rPr>
        <w:t xml:space="preserve"> </w:t>
      </w:r>
      <w:r w:rsidRPr="009F10A9">
        <w:rPr>
          <w:rFonts w:ascii="Times New Roman" w:hAnsi="Times New Roman"/>
          <w:sz w:val="28"/>
          <w:szCs w:val="28"/>
        </w:rPr>
        <w:t xml:space="preserve"> над </w:t>
      </w:r>
      <w:proofErr w:type="gramStart"/>
      <w:r w:rsidRPr="009F10A9">
        <w:rPr>
          <w:rFonts w:ascii="Times New Roman" w:hAnsi="Times New Roman"/>
          <w:sz w:val="28"/>
          <w:szCs w:val="28"/>
        </w:rPr>
        <w:t>плановыми</w:t>
      </w:r>
      <w:proofErr w:type="gramEnd"/>
      <w:r w:rsidRPr="009F10A9">
        <w:rPr>
          <w:rFonts w:ascii="Times New Roman" w:hAnsi="Times New Roman"/>
          <w:sz w:val="28"/>
          <w:szCs w:val="28"/>
        </w:rPr>
        <w:t xml:space="preserve">, либо невыполнении запланированных объёмов задания. В противном случае может сложиться ситуация, когда читателю откажут в выдаче книги или учреждение </w:t>
      </w:r>
      <w:proofErr w:type="spellStart"/>
      <w:r w:rsidRPr="009F10A9">
        <w:rPr>
          <w:rFonts w:ascii="Times New Roman" w:hAnsi="Times New Roman"/>
          <w:sz w:val="28"/>
          <w:szCs w:val="28"/>
        </w:rPr>
        <w:t>культурно-досугового</w:t>
      </w:r>
      <w:proofErr w:type="spellEnd"/>
      <w:r w:rsidRPr="009F10A9">
        <w:rPr>
          <w:rFonts w:ascii="Times New Roman" w:hAnsi="Times New Roman"/>
          <w:sz w:val="28"/>
          <w:szCs w:val="28"/>
        </w:rPr>
        <w:t xml:space="preserve"> типа закроется на несколько дней. </w:t>
      </w:r>
    </w:p>
    <w:p w:rsidR="00847CB6" w:rsidRPr="009F10A9" w:rsidRDefault="00847CB6" w:rsidP="00847CB6">
      <w:pPr>
        <w:pStyle w:val="a4"/>
        <w:shd w:val="clear" w:color="auto" w:fill="FFFFFF"/>
        <w:spacing w:after="0"/>
        <w:ind w:firstLine="708"/>
        <w:jc w:val="both"/>
        <w:rPr>
          <w:rFonts w:ascii="Times New Roman" w:hAnsi="Times New Roman"/>
          <w:sz w:val="28"/>
          <w:szCs w:val="28"/>
        </w:rPr>
      </w:pPr>
      <w:r w:rsidRPr="009F10A9">
        <w:rPr>
          <w:rFonts w:ascii="Times New Roman" w:hAnsi="Times New Roman"/>
          <w:sz w:val="28"/>
          <w:szCs w:val="28"/>
        </w:rPr>
        <w:t>Показатели, характеризующие качество и объём муниципальной услуги, утверждаются в муниципальном задании на финансовый год, при этом отчёты об исполнении задания предоставляются ежеквартально, а плановые ежеквартальные нормативы отсутствуют.</w:t>
      </w:r>
    </w:p>
    <w:p w:rsidR="00847CB6" w:rsidRPr="009F10A9" w:rsidRDefault="00847CB6" w:rsidP="00847CB6">
      <w:pPr>
        <w:pStyle w:val="a4"/>
        <w:shd w:val="clear" w:color="auto" w:fill="FFFFFF"/>
        <w:spacing w:after="0"/>
        <w:ind w:firstLine="708"/>
        <w:jc w:val="both"/>
        <w:rPr>
          <w:rFonts w:ascii="Times New Roman" w:hAnsi="Times New Roman"/>
          <w:sz w:val="28"/>
          <w:szCs w:val="28"/>
        </w:rPr>
      </w:pPr>
      <w:proofErr w:type="gramStart"/>
      <w:r w:rsidRPr="009F10A9">
        <w:rPr>
          <w:rFonts w:ascii="Times New Roman" w:hAnsi="Times New Roman"/>
          <w:sz w:val="28"/>
          <w:szCs w:val="28"/>
        </w:rPr>
        <w:t xml:space="preserve">Таким образом, выявить отклонение плановых показателей (ежеквартальных)  от фактически достигнутых в отчетном периоде (квартале), характеризующих результат деятельности учреждения, для принятия решения об изменении размера субсидии  не представляется возможным.  </w:t>
      </w:r>
      <w:proofErr w:type="gramEnd"/>
    </w:p>
    <w:p w:rsidR="00847CB6" w:rsidRPr="009F10A9" w:rsidRDefault="00847CB6" w:rsidP="00847CB6">
      <w:pPr>
        <w:pStyle w:val="a4"/>
        <w:shd w:val="clear" w:color="auto" w:fill="FFFFFF"/>
        <w:spacing w:after="0"/>
        <w:ind w:firstLine="708"/>
        <w:jc w:val="both"/>
        <w:rPr>
          <w:rFonts w:ascii="Times New Roman" w:hAnsi="Times New Roman"/>
          <w:sz w:val="28"/>
          <w:szCs w:val="28"/>
        </w:rPr>
      </w:pPr>
      <w:r w:rsidRPr="009F10A9">
        <w:rPr>
          <w:rFonts w:ascii="Times New Roman" w:hAnsi="Times New Roman"/>
          <w:sz w:val="28"/>
          <w:szCs w:val="28"/>
        </w:rPr>
        <w:t>Учредитель не обладает  нужной  информацией, позволяющей изменять размер выделенных средств. Это формирует ещё одну проблему – невозможность своевременного перерасчёта субсидии учреждению.</w:t>
      </w:r>
    </w:p>
    <w:p w:rsidR="00847CB6" w:rsidRPr="009F10A9" w:rsidRDefault="00847CB6" w:rsidP="00847CB6">
      <w:pPr>
        <w:pStyle w:val="a4"/>
        <w:shd w:val="clear" w:color="auto" w:fill="FFFFFF"/>
        <w:spacing w:after="0"/>
        <w:ind w:firstLine="708"/>
        <w:jc w:val="both"/>
        <w:rPr>
          <w:rFonts w:ascii="Times New Roman" w:hAnsi="Times New Roman"/>
          <w:sz w:val="28"/>
          <w:szCs w:val="28"/>
        </w:rPr>
      </w:pPr>
      <w:r w:rsidRPr="009F10A9">
        <w:rPr>
          <w:rFonts w:ascii="Times New Roman" w:hAnsi="Times New Roman"/>
          <w:sz w:val="28"/>
          <w:szCs w:val="28"/>
        </w:rPr>
        <w:t xml:space="preserve">Планируемые показатели качества и объёма муниципальных услуг на очередной финансовый год следует разбивать на периоды, по которым сдаётся отчёт главному распорядителю, с целью определения реального процента исполнения муниципального задания. По нашему мнению, учредитель должен располагать достоверной, своевременной  информацией о ходе выполнения муниципального задания и в течение года для  оперативной корректировки принятых ранее управленческих решений. Инструментами получения такой информации могут быть периодические (один раз в квартал) проверки результативности муниципального задания, точечные (по мере необходимости) мониторинги, ежемесячные отчёты о выполнении муниципального задания. Практическое внедрение предложенного инструментария позволит не только определять качество оказываемых услуг на ранних этапах, но и повысить обоснованность действующих нормативов затрат. </w:t>
      </w:r>
    </w:p>
    <w:p w:rsidR="00847CB6" w:rsidRPr="009F10A9" w:rsidRDefault="00847CB6" w:rsidP="00847CB6">
      <w:pPr>
        <w:pStyle w:val="a4"/>
        <w:shd w:val="clear" w:color="auto" w:fill="FFFFFF"/>
        <w:spacing w:after="0"/>
        <w:ind w:firstLine="708"/>
        <w:jc w:val="both"/>
        <w:rPr>
          <w:rFonts w:ascii="Times New Roman" w:hAnsi="Times New Roman"/>
          <w:sz w:val="28"/>
          <w:szCs w:val="28"/>
        </w:rPr>
      </w:pPr>
      <w:r w:rsidRPr="009F10A9">
        <w:rPr>
          <w:rFonts w:ascii="Times New Roman" w:hAnsi="Times New Roman"/>
          <w:sz w:val="28"/>
          <w:szCs w:val="28"/>
        </w:rPr>
        <w:lastRenderedPageBreak/>
        <w:t>Государство даёт возможность учреждению привлекать дополнительные источники финансирования в виде деятельности, приносящей доход,  которая может  выполняться, согласно нормативам федерального законодательства:</w:t>
      </w:r>
    </w:p>
    <w:p w:rsidR="00847CB6" w:rsidRPr="009F10A9" w:rsidRDefault="00847CB6" w:rsidP="00847CB6">
      <w:pPr>
        <w:pStyle w:val="a4"/>
        <w:shd w:val="clear" w:color="auto" w:fill="FFFFFF"/>
        <w:spacing w:after="0"/>
        <w:ind w:firstLine="708"/>
        <w:jc w:val="both"/>
        <w:rPr>
          <w:rFonts w:ascii="Times New Roman" w:hAnsi="Times New Roman"/>
          <w:sz w:val="28"/>
          <w:szCs w:val="28"/>
        </w:rPr>
      </w:pPr>
      <w:r w:rsidRPr="009F10A9">
        <w:rPr>
          <w:rFonts w:ascii="Times New Roman" w:hAnsi="Times New Roman"/>
          <w:sz w:val="28"/>
          <w:szCs w:val="28"/>
        </w:rPr>
        <w:t>- за плату в пределах муниципального задания;</w:t>
      </w:r>
    </w:p>
    <w:p w:rsidR="00847CB6" w:rsidRPr="009F10A9" w:rsidRDefault="00847CB6" w:rsidP="00847CB6">
      <w:pPr>
        <w:autoSpaceDE w:val="0"/>
        <w:autoSpaceDN w:val="0"/>
        <w:adjustRightInd w:val="0"/>
        <w:ind w:firstLine="708"/>
        <w:jc w:val="both"/>
        <w:outlineLvl w:val="0"/>
        <w:rPr>
          <w:sz w:val="28"/>
          <w:szCs w:val="28"/>
        </w:rPr>
      </w:pPr>
      <w:r w:rsidRPr="009F10A9">
        <w:rPr>
          <w:color w:val="000000"/>
          <w:sz w:val="28"/>
          <w:szCs w:val="28"/>
        </w:rPr>
        <w:t xml:space="preserve">- за плату за пределами муниципального задания </w:t>
      </w:r>
      <w:r w:rsidRPr="009F10A9">
        <w:rPr>
          <w:sz w:val="28"/>
          <w:szCs w:val="28"/>
        </w:rPr>
        <w:t>и на одинаковых при оказании одних и тех же услуг условиях.</w:t>
      </w:r>
    </w:p>
    <w:p w:rsidR="00847CB6" w:rsidRPr="009F10A9" w:rsidRDefault="00847CB6" w:rsidP="00847CB6">
      <w:pPr>
        <w:pStyle w:val="a4"/>
        <w:shd w:val="clear" w:color="auto" w:fill="FFFFFF"/>
        <w:spacing w:after="0"/>
        <w:ind w:firstLine="708"/>
        <w:jc w:val="both"/>
        <w:rPr>
          <w:rFonts w:ascii="Times New Roman" w:hAnsi="Times New Roman"/>
          <w:sz w:val="28"/>
          <w:szCs w:val="28"/>
        </w:rPr>
      </w:pPr>
      <w:r w:rsidRPr="009F10A9">
        <w:rPr>
          <w:rFonts w:ascii="Times New Roman" w:hAnsi="Times New Roman"/>
          <w:sz w:val="28"/>
          <w:szCs w:val="28"/>
        </w:rPr>
        <w:t xml:space="preserve">Как известно, каждое муниципальное образование разрабатывает соответствующие документы, адаптирующие общие положения федерального законодательства применительно к конкретной территории.  Так, в  соответствующем постановлении администрации муниципального образования город Краснодара </w:t>
      </w:r>
      <w:r w:rsidRPr="009F10A9">
        <w:rPr>
          <w:rFonts w:ascii="Times New Roman" w:hAnsi="Times New Roman"/>
          <w:color w:val="000000" w:themeColor="text1"/>
          <w:sz w:val="28"/>
          <w:szCs w:val="28"/>
        </w:rPr>
        <w:t>указано</w:t>
      </w:r>
      <w:r w:rsidRPr="009F10A9">
        <w:rPr>
          <w:rFonts w:ascii="Times New Roman" w:hAnsi="Times New Roman"/>
          <w:sz w:val="28"/>
          <w:szCs w:val="28"/>
        </w:rPr>
        <w:t>, что «при оказании …… муниципальными бюджетными или автономными учреждениями муниципальных услуг (выполнении работ) гражданам и юридическим лицам за плату в пределах установленного муниципального задания размер субсидии рассчитывается с учётом средств, планируемых к поступлению от потребителей указанных услуг (работ)». Не вполне понятно,  что подразумевается под понятием «учёт средств». Если предположить, что законодатель имел в виду уменьшение субсидии на сумму поступлений от услуг, оказываемых за плату, то планирование  данных  поступлений   довольно рискованно, так как велика вероятность уменьшения субсидии на сумму, которую можно  не получить. Например, в  отрасли «культура» количество потребителей конкретной  услуги  априори определить  практически  невозможно.</w:t>
      </w:r>
    </w:p>
    <w:p w:rsidR="00847CB6" w:rsidRPr="009F10A9" w:rsidRDefault="00847CB6" w:rsidP="00847CB6">
      <w:pPr>
        <w:autoSpaceDE w:val="0"/>
        <w:autoSpaceDN w:val="0"/>
        <w:adjustRightInd w:val="0"/>
        <w:ind w:firstLine="708"/>
        <w:jc w:val="both"/>
        <w:outlineLvl w:val="0"/>
        <w:rPr>
          <w:color w:val="000000"/>
          <w:sz w:val="28"/>
          <w:szCs w:val="28"/>
        </w:rPr>
      </w:pPr>
      <w:r w:rsidRPr="009F10A9">
        <w:rPr>
          <w:color w:val="000000"/>
          <w:sz w:val="28"/>
          <w:szCs w:val="28"/>
        </w:rPr>
        <w:t xml:space="preserve">Остаётся  открытым и вопрос о том, какие услуги должны включаться в муниципальное задание в случаях, когда в федеральных законах предусмотрена возможность их оказания за плату. Виды таких услуг и порядок определения </w:t>
      </w:r>
      <w:r w:rsidRPr="009F10A9">
        <w:rPr>
          <w:color w:val="000000" w:themeColor="text1"/>
          <w:sz w:val="28"/>
          <w:szCs w:val="28"/>
        </w:rPr>
        <w:t>тарифов</w:t>
      </w:r>
      <w:r w:rsidRPr="009F10A9">
        <w:rPr>
          <w:color w:val="000000"/>
          <w:sz w:val="28"/>
          <w:szCs w:val="28"/>
        </w:rPr>
        <w:t xml:space="preserve"> на них должен определяться учредителем.</w:t>
      </w:r>
    </w:p>
    <w:p w:rsidR="00847CB6" w:rsidRPr="009F10A9" w:rsidRDefault="00847CB6" w:rsidP="00847CB6">
      <w:pPr>
        <w:autoSpaceDE w:val="0"/>
        <w:autoSpaceDN w:val="0"/>
        <w:adjustRightInd w:val="0"/>
        <w:ind w:firstLine="708"/>
        <w:jc w:val="both"/>
        <w:outlineLvl w:val="0"/>
        <w:rPr>
          <w:sz w:val="28"/>
          <w:szCs w:val="28"/>
        </w:rPr>
      </w:pPr>
      <w:r w:rsidRPr="009F10A9">
        <w:rPr>
          <w:color w:val="000000"/>
          <w:sz w:val="28"/>
          <w:szCs w:val="28"/>
        </w:rPr>
        <w:t xml:space="preserve">В то же время </w:t>
      </w:r>
      <w:r w:rsidRPr="009F10A9">
        <w:rPr>
          <w:sz w:val="28"/>
          <w:szCs w:val="28"/>
        </w:rPr>
        <w:t>учреждению следует максимально полно и подробно описать в уставе те виды деятельности, которые в дальнейшем смогут принести доход.</w:t>
      </w:r>
      <w:r w:rsidRPr="009F10A9">
        <w:rPr>
          <w:color w:val="000000"/>
          <w:sz w:val="28"/>
          <w:szCs w:val="28"/>
        </w:rPr>
        <w:t xml:space="preserve"> Порядок оказания услуг, выполняемых в пределах муниципального задания за плату очень важен, так как средства, полученные от их оказания, должны быть направлены на восстановление субсидии или учитываться при планировании бюджетных ассигнований на выполнение задания. При этом </w:t>
      </w:r>
      <w:r w:rsidRPr="009F10A9">
        <w:rPr>
          <w:sz w:val="28"/>
          <w:szCs w:val="28"/>
        </w:rPr>
        <w:t>цены на услуги, оказываемые за плату, следует формировать с учетом их себестоимости и спроса.</w:t>
      </w:r>
    </w:p>
    <w:p w:rsidR="00847CB6" w:rsidRDefault="00847CB6" w:rsidP="00847CB6">
      <w:pPr>
        <w:pStyle w:val="a4"/>
        <w:shd w:val="clear" w:color="auto" w:fill="FFFFFF"/>
        <w:spacing w:after="0"/>
        <w:ind w:firstLine="708"/>
        <w:jc w:val="both"/>
        <w:rPr>
          <w:rFonts w:ascii="Times New Roman" w:hAnsi="Times New Roman"/>
          <w:sz w:val="28"/>
          <w:szCs w:val="28"/>
        </w:rPr>
      </w:pPr>
      <w:r w:rsidRPr="009F10A9">
        <w:rPr>
          <w:rFonts w:ascii="Times New Roman" w:hAnsi="Times New Roman"/>
          <w:sz w:val="28"/>
          <w:szCs w:val="28"/>
        </w:rPr>
        <w:t>Муниципальное задание утверждается на  год, т.е. определить в той же отрасли «Культура»,  предоставляется ли услуга в пределах выделенного лимита</w:t>
      </w:r>
      <w:r>
        <w:rPr>
          <w:rFonts w:ascii="Times New Roman" w:hAnsi="Times New Roman"/>
          <w:sz w:val="28"/>
          <w:szCs w:val="28"/>
        </w:rPr>
        <w:t>, либо</w:t>
      </w:r>
      <w:r w:rsidRPr="009F10A9">
        <w:rPr>
          <w:rFonts w:ascii="Times New Roman" w:hAnsi="Times New Roman"/>
          <w:sz w:val="28"/>
          <w:szCs w:val="28"/>
        </w:rPr>
        <w:t xml:space="preserve"> сверх </w:t>
      </w:r>
      <w:r>
        <w:rPr>
          <w:rFonts w:ascii="Times New Roman" w:hAnsi="Times New Roman"/>
          <w:sz w:val="28"/>
          <w:szCs w:val="28"/>
        </w:rPr>
        <w:t>него</w:t>
      </w:r>
      <w:r w:rsidRPr="009F10A9">
        <w:rPr>
          <w:rFonts w:ascii="Times New Roman" w:hAnsi="Times New Roman"/>
          <w:sz w:val="28"/>
          <w:szCs w:val="28"/>
        </w:rPr>
        <w:t>,</w:t>
      </w:r>
      <w:r>
        <w:rPr>
          <w:rFonts w:ascii="Times New Roman" w:hAnsi="Times New Roman"/>
          <w:sz w:val="28"/>
          <w:szCs w:val="28"/>
        </w:rPr>
        <w:t xml:space="preserve"> например, в отрасли «Культура»</w:t>
      </w:r>
      <w:r w:rsidRPr="009F10A9">
        <w:rPr>
          <w:rFonts w:ascii="Times New Roman" w:hAnsi="Times New Roman"/>
          <w:sz w:val="28"/>
          <w:szCs w:val="28"/>
        </w:rPr>
        <w:t xml:space="preserve"> можно только по итогам финансового года. </w:t>
      </w:r>
      <w:r>
        <w:rPr>
          <w:rFonts w:ascii="Times New Roman" w:hAnsi="Times New Roman"/>
          <w:sz w:val="28"/>
          <w:szCs w:val="28"/>
        </w:rPr>
        <w:t>В частности</w:t>
      </w:r>
      <w:r w:rsidRPr="009F10A9">
        <w:rPr>
          <w:rFonts w:ascii="Times New Roman" w:hAnsi="Times New Roman"/>
          <w:sz w:val="28"/>
          <w:szCs w:val="28"/>
        </w:rPr>
        <w:t xml:space="preserve">, качественные показатели работы учреждения культуры в муниципальном задании рассчитываются экспертным  путём  на основе фактических  значений прошлых лет. При этом ставится нижняя граница - «не менее», а «потолок» выполнения показателя не устанавливается (таблица 1). </w:t>
      </w:r>
    </w:p>
    <w:p w:rsidR="00847CB6" w:rsidRPr="009F10A9" w:rsidRDefault="00847CB6" w:rsidP="00847CB6">
      <w:pPr>
        <w:pStyle w:val="a4"/>
        <w:shd w:val="clear" w:color="auto" w:fill="FFFFFF"/>
        <w:spacing w:after="0"/>
        <w:ind w:firstLine="708"/>
        <w:jc w:val="right"/>
        <w:rPr>
          <w:rFonts w:ascii="Times New Roman" w:hAnsi="Times New Roman"/>
          <w:sz w:val="28"/>
          <w:szCs w:val="28"/>
        </w:rPr>
      </w:pPr>
      <w:r w:rsidRPr="009F10A9">
        <w:rPr>
          <w:rFonts w:ascii="Times New Roman" w:hAnsi="Times New Roman"/>
          <w:sz w:val="28"/>
          <w:szCs w:val="28"/>
        </w:rPr>
        <w:t>Таблица 1</w:t>
      </w:r>
    </w:p>
    <w:p w:rsidR="00847CB6" w:rsidRPr="009F10A9" w:rsidRDefault="00847CB6" w:rsidP="00847CB6">
      <w:pPr>
        <w:pStyle w:val="a4"/>
        <w:shd w:val="clear" w:color="auto" w:fill="FFFFFF"/>
        <w:spacing w:after="0"/>
        <w:ind w:firstLine="708"/>
        <w:jc w:val="center"/>
        <w:rPr>
          <w:rFonts w:ascii="Times New Roman" w:hAnsi="Times New Roman"/>
          <w:sz w:val="28"/>
          <w:szCs w:val="28"/>
        </w:rPr>
      </w:pPr>
      <w:r w:rsidRPr="009F10A9">
        <w:rPr>
          <w:rFonts w:ascii="Times New Roman" w:hAnsi="Times New Roman"/>
          <w:sz w:val="28"/>
          <w:szCs w:val="28"/>
        </w:rPr>
        <w:t>Показатели качества муниципальных услуг в отрасли «Культура»</w:t>
      </w:r>
    </w:p>
    <w:tbl>
      <w:tblPr>
        <w:tblW w:w="9654" w:type="dxa"/>
        <w:tblInd w:w="93" w:type="dxa"/>
        <w:tblLayout w:type="fixed"/>
        <w:tblLook w:val="0000"/>
      </w:tblPr>
      <w:tblGrid>
        <w:gridCol w:w="1432"/>
        <w:gridCol w:w="709"/>
        <w:gridCol w:w="804"/>
        <w:gridCol w:w="1240"/>
        <w:gridCol w:w="1063"/>
        <w:gridCol w:w="1063"/>
        <w:gridCol w:w="1063"/>
        <w:gridCol w:w="1013"/>
        <w:gridCol w:w="1267"/>
      </w:tblGrid>
      <w:tr w:rsidR="00847CB6" w:rsidRPr="009F10A9" w:rsidTr="00AA3C6D">
        <w:trPr>
          <w:trHeight w:val="590"/>
        </w:trPr>
        <w:tc>
          <w:tcPr>
            <w:tcW w:w="1432" w:type="dxa"/>
            <w:vMerge w:val="restart"/>
            <w:tcBorders>
              <w:top w:val="single" w:sz="4" w:space="0" w:color="auto"/>
              <w:left w:val="single" w:sz="4" w:space="0" w:color="auto"/>
              <w:bottom w:val="single" w:sz="4" w:space="0" w:color="auto"/>
              <w:right w:val="single" w:sz="4" w:space="0" w:color="auto"/>
            </w:tcBorders>
            <w:shd w:val="clear" w:color="auto" w:fill="auto"/>
          </w:tcPr>
          <w:p w:rsidR="00847CB6" w:rsidRPr="003B7D64" w:rsidRDefault="00847CB6" w:rsidP="00AA3C6D">
            <w:pPr>
              <w:jc w:val="center"/>
            </w:pPr>
            <w:r w:rsidRPr="003B7D64">
              <w:lastRenderedPageBreak/>
              <w:t>Наименование показателя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847CB6" w:rsidRPr="003B7D64" w:rsidRDefault="00847CB6" w:rsidP="00AA3C6D">
            <w:pPr>
              <w:ind w:firstLine="708"/>
              <w:jc w:val="center"/>
            </w:pPr>
            <w:proofErr w:type="spellStart"/>
            <w:r>
              <w:t>ЕЕ</w:t>
            </w:r>
            <w:r w:rsidRPr="003B7D64">
              <w:t>диница</w:t>
            </w:r>
            <w:proofErr w:type="spellEnd"/>
            <w:r w:rsidRPr="003B7D64">
              <w:t xml:space="preserve"> измерения</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847CB6" w:rsidRPr="003B7D64" w:rsidRDefault="00847CB6" w:rsidP="00AA3C6D">
            <w:pPr>
              <w:ind w:firstLine="708"/>
              <w:jc w:val="center"/>
            </w:pPr>
            <w:proofErr w:type="spellStart"/>
            <w:r w:rsidRPr="003B7D64">
              <w:t>Ф</w:t>
            </w:r>
            <w:r>
              <w:t>Ф</w:t>
            </w:r>
            <w:r w:rsidRPr="003B7D64">
              <w:t>ормула</w:t>
            </w:r>
            <w:proofErr w:type="spellEnd"/>
            <w:r w:rsidRPr="003B7D64">
              <w:t xml:space="preserve"> расчёта</w:t>
            </w:r>
          </w:p>
        </w:tc>
        <w:tc>
          <w:tcPr>
            <w:tcW w:w="5442" w:type="dxa"/>
            <w:gridSpan w:val="5"/>
            <w:tcBorders>
              <w:top w:val="single" w:sz="4" w:space="0" w:color="auto"/>
              <w:left w:val="nil"/>
              <w:bottom w:val="single" w:sz="4" w:space="0" w:color="auto"/>
              <w:right w:val="single" w:sz="4" w:space="0" w:color="auto"/>
            </w:tcBorders>
            <w:shd w:val="clear" w:color="auto" w:fill="auto"/>
          </w:tcPr>
          <w:p w:rsidR="00847CB6" w:rsidRPr="003B7D64" w:rsidRDefault="00847CB6" w:rsidP="00AA3C6D">
            <w:pPr>
              <w:tabs>
                <w:tab w:val="left" w:pos="172"/>
              </w:tabs>
              <w:jc w:val="center"/>
            </w:pPr>
            <w:r w:rsidRPr="003B7D64">
              <w:t>Значения показателей качества оказываемой муниципальной услуги</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tcPr>
          <w:p w:rsidR="00847CB6" w:rsidRPr="003B7D64" w:rsidRDefault="00847CB6" w:rsidP="00AA3C6D">
            <w:pPr>
              <w:jc w:val="center"/>
            </w:pPr>
            <w:r w:rsidRPr="003B7D64">
              <w:t xml:space="preserve">Источник информации о </w:t>
            </w:r>
            <w:proofErr w:type="spellStart"/>
            <w:proofErr w:type="gramStart"/>
            <w:r>
              <w:t>з</w:t>
            </w:r>
            <w:r w:rsidRPr="003B7D64">
              <w:t>на</w:t>
            </w:r>
            <w:r>
              <w:t>-</w:t>
            </w:r>
            <w:r w:rsidRPr="003B7D64">
              <w:t>чениях</w:t>
            </w:r>
            <w:proofErr w:type="spellEnd"/>
            <w:proofErr w:type="gramEnd"/>
            <w:r w:rsidRPr="003B7D64">
              <w:t xml:space="preserve"> показателя (</w:t>
            </w:r>
            <w:proofErr w:type="spellStart"/>
            <w:r w:rsidRPr="003B7D64">
              <w:t>исход</w:t>
            </w:r>
            <w:r>
              <w:t>-</w:t>
            </w:r>
            <w:r w:rsidRPr="003B7D64">
              <w:t>ные</w:t>
            </w:r>
            <w:proofErr w:type="spellEnd"/>
            <w:r w:rsidRPr="003B7D64">
              <w:t xml:space="preserve"> </w:t>
            </w:r>
            <w:proofErr w:type="spellStart"/>
            <w:r w:rsidRPr="003B7D64">
              <w:t>дан</w:t>
            </w:r>
            <w:r>
              <w:t>-</w:t>
            </w:r>
            <w:r w:rsidRPr="003B7D64">
              <w:t>ные</w:t>
            </w:r>
            <w:proofErr w:type="spellEnd"/>
            <w:r w:rsidRPr="003B7D64">
              <w:t xml:space="preserve"> для расчёта)</w:t>
            </w:r>
          </w:p>
        </w:tc>
      </w:tr>
      <w:tr w:rsidR="00847CB6" w:rsidRPr="009F10A9" w:rsidTr="00AA3C6D">
        <w:trPr>
          <w:trHeight w:val="1346"/>
        </w:trPr>
        <w:tc>
          <w:tcPr>
            <w:tcW w:w="1432" w:type="dxa"/>
            <w:vMerge/>
            <w:tcBorders>
              <w:top w:val="single" w:sz="4" w:space="0" w:color="auto"/>
              <w:left w:val="single" w:sz="4" w:space="0" w:color="auto"/>
              <w:bottom w:val="single" w:sz="4" w:space="0" w:color="auto"/>
              <w:right w:val="single" w:sz="4" w:space="0" w:color="auto"/>
            </w:tcBorders>
            <w:vAlign w:val="center"/>
          </w:tcPr>
          <w:p w:rsidR="00847CB6" w:rsidRPr="009F10A9" w:rsidRDefault="00847CB6" w:rsidP="00AA3C6D">
            <w:pPr>
              <w:ind w:firstLine="708"/>
              <w:jc w:val="center"/>
              <w:rPr>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47CB6" w:rsidRPr="009F10A9" w:rsidRDefault="00847CB6" w:rsidP="00AA3C6D">
            <w:pPr>
              <w:ind w:firstLine="708"/>
              <w:jc w:val="center"/>
              <w:rPr>
                <w:sz w:val="28"/>
                <w:szCs w:val="28"/>
              </w:rPr>
            </w:pPr>
          </w:p>
        </w:tc>
        <w:tc>
          <w:tcPr>
            <w:tcW w:w="804" w:type="dxa"/>
            <w:vMerge/>
            <w:tcBorders>
              <w:top w:val="single" w:sz="4" w:space="0" w:color="auto"/>
              <w:left w:val="single" w:sz="4" w:space="0" w:color="auto"/>
              <w:bottom w:val="single" w:sz="4" w:space="0" w:color="auto"/>
              <w:right w:val="single" w:sz="4" w:space="0" w:color="auto"/>
            </w:tcBorders>
            <w:vAlign w:val="center"/>
          </w:tcPr>
          <w:p w:rsidR="00847CB6" w:rsidRPr="009F10A9" w:rsidRDefault="00847CB6" w:rsidP="00AA3C6D">
            <w:pPr>
              <w:ind w:firstLine="708"/>
              <w:jc w:val="center"/>
              <w:rPr>
                <w:sz w:val="28"/>
                <w:szCs w:val="28"/>
              </w:rPr>
            </w:pPr>
          </w:p>
        </w:tc>
        <w:tc>
          <w:tcPr>
            <w:tcW w:w="1240" w:type="dxa"/>
            <w:tcBorders>
              <w:top w:val="nil"/>
              <w:left w:val="nil"/>
              <w:bottom w:val="single" w:sz="4" w:space="0" w:color="auto"/>
              <w:right w:val="single" w:sz="4" w:space="0" w:color="auto"/>
            </w:tcBorders>
            <w:shd w:val="clear" w:color="auto" w:fill="auto"/>
          </w:tcPr>
          <w:p w:rsidR="00847CB6" w:rsidRDefault="00847CB6" w:rsidP="00AA3C6D">
            <w:pPr>
              <w:jc w:val="center"/>
            </w:pPr>
            <w:r w:rsidRPr="003B7D64">
              <w:t xml:space="preserve">отчётный </w:t>
            </w:r>
            <w:proofErr w:type="spellStart"/>
            <w:proofErr w:type="gramStart"/>
            <w:r w:rsidRPr="003B7D64">
              <w:t>финансо</w:t>
            </w:r>
            <w:r>
              <w:t>-</w:t>
            </w:r>
            <w:r w:rsidRPr="003B7D64">
              <w:t>вый</w:t>
            </w:r>
            <w:proofErr w:type="spellEnd"/>
            <w:proofErr w:type="gramEnd"/>
          </w:p>
          <w:p w:rsidR="00847CB6" w:rsidRPr="003B7D64" w:rsidRDefault="00847CB6" w:rsidP="00AA3C6D">
            <w:pPr>
              <w:jc w:val="center"/>
            </w:pPr>
            <w:r w:rsidRPr="003B7D64">
              <w:t>2009 год</w:t>
            </w:r>
          </w:p>
        </w:tc>
        <w:tc>
          <w:tcPr>
            <w:tcW w:w="1063" w:type="dxa"/>
            <w:tcBorders>
              <w:top w:val="nil"/>
              <w:left w:val="nil"/>
              <w:bottom w:val="single" w:sz="4" w:space="0" w:color="auto"/>
              <w:right w:val="single" w:sz="4" w:space="0" w:color="auto"/>
            </w:tcBorders>
            <w:shd w:val="clear" w:color="auto" w:fill="auto"/>
          </w:tcPr>
          <w:p w:rsidR="00847CB6" w:rsidRDefault="00847CB6" w:rsidP="00AA3C6D">
            <w:pPr>
              <w:ind w:right="-120" w:hanging="25"/>
              <w:jc w:val="center"/>
            </w:pPr>
            <w:r w:rsidRPr="003B7D64">
              <w:t>текущий финансовый</w:t>
            </w:r>
          </w:p>
          <w:p w:rsidR="00847CB6" w:rsidRPr="003B7D64" w:rsidRDefault="00847CB6" w:rsidP="00AA3C6D">
            <w:pPr>
              <w:ind w:right="-120" w:hanging="25"/>
              <w:jc w:val="center"/>
            </w:pPr>
            <w:r w:rsidRPr="003B7D64">
              <w:t>2010 год</w:t>
            </w:r>
          </w:p>
        </w:tc>
        <w:tc>
          <w:tcPr>
            <w:tcW w:w="106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proofErr w:type="spellStart"/>
            <w:proofErr w:type="gramStart"/>
            <w:r>
              <w:t>о</w:t>
            </w:r>
            <w:r w:rsidRPr="003B7D64">
              <w:t>черед</w:t>
            </w:r>
            <w:r>
              <w:t>-</w:t>
            </w:r>
            <w:r w:rsidRPr="003B7D64">
              <w:t>ной</w:t>
            </w:r>
            <w:proofErr w:type="spellEnd"/>
            <w:proofErr w:type="gramEnd"/>
            <w:r w:rsidRPr="003B7D64">
              <w:t xml:space="preserve"> </w:t>
            </w:r>
            <w:proofErr w:type="spellStart"/>
            <w:r w:rsidRPr="003B7D64">
              <w:t>финан</w:t>
            </w:r>
            <w:r>
              <w:t>-</w:t>
            </w:r>
            <w:r w:rsidRPr="003B7D64">
              <w:t>совый</w:t>
            </w:r>
            <w:proofErr w:type="spellEnd"/>
            <w:r w:rsidRPr="003B7D64">
              <w:t xml:space="preserve"> 2011 год</w:t>
            </w:r>
          </w:p>
        </w:tc>
        <w:tc>
          <w:tcPr>
            <w:tcW w:w="106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первый год планового периода 2012 год</w:t>
            </w:r>
          </w:p>
        </w:tc>
        <w:tc>
          <w:tcPr>
            <w:tcW w:w="101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 xml:space="preserve">второй год </w:t>
            </w:r>
            <w:proofErr w:type="gramStart"/>
            <w:r w:rsidRPr="003B7D64">
              <w:t>планового</w:t>
            </w:r>
            <w:proofErr w:type="gramEnd"/>
            <w:r w:rsidRPr="003B7D64">
              <w:t xml:space="preserve"> </w:t>
            </w:r>
            <w:proofErr w:type="spellStart"/>
            <w:r w:rsidRPr="003B7D64">
              <w:t>пе</w:t>
            </w:r>
            <w:r>
              <w:t>-</w:t>
            </w:r>
            <w:r w:rsidRPr="003B7D64">
              <w:t>риода</w:t>
            </w:r>
            <w:proofErr w:type="spellEnd"/>
            <w:r w:rsidRPr="003B7D64">
              <w:t xml:space="preserve"> 2013 год</w:t>
            </w:r>
          </w:p>
        </w:tc>
        <w:tc>
          <w:tcPr>
            <w:tcW w:w="1267" w:type="dxa"/>
            <w:vMerge/>
            <w:tcBorders>
              <w:top w:val="single" w:sz="4" w:space="0" w:color="auto"/>
              <w:left w:val="single" w:sz="4" w:space="0" w:color="auto"/>
              <w:bottom w:val="single" w:sz="4" w:space="0" w:color="auto"/>
              <w:right w:val="single" w:sz="4" w:space="0" w:color="auto"/>
            </w:tcBorders>
            <w:vAlign w:val="center"/>
          </w:tcPr>
          <w:p w:rsidR="00847CB6" w:rsidRPr="009F10A9" w:rsidRDefault="00847CB6" w:rsidP="00AA3C6D">
            <w:pPr>
              <w:ind w:firstLine="708"/>
              <w:jc w:val="center"/>
              <w:rPr>
                <w:sz w:val="28"/>
                <w:szCs w:val="28"/>
              </w:rPr>
            </w:pPr>
          </w:p>
        </w:tc>
      </w:tr>
      <w:tr w:rsidR="00847CB6" w:rsidRPr="009F10A9" w:rsidTr="00AA3C6D">
        <w:trPr>
          <w:trHeight w:val="514"/>
        </w:trPr>
        <w:tc>
          <w:tcPr>
            <w:tcW w:w="1432" w:type="dxa"/>
            <w:tcBorders>
              <w:top w:val="nil"/>
              <w:left w:val="single" w:sz="4" w:space="0" w:color="auto"/>
              <w:bottom w:val="single" w:sz="4" w:space="0" w:color="auto"/>
              <w:right w:val="single" w:sz="4" w:space="0" w:color="auto"/>
            </w:tcBorders>
            <w:shd w:val="clear" w:color="auto" w:fill="auto"/>
          </w:tcPr>
          <w:p w:rsidR="00847CB6" w:rsidRPr="003B7D64" w:rsidRDefault="00847CB6" w:rsidP="00AA3C6D">
            <w:pPr>
              <w:jc w:val="center"/>
            </w:pPr>
            <w:r w:rsidRPr="003B7D64">
              <w:t>Количество клубных формирований</w:t>
            </w:r>
          </w:p>
        </w:tc>
        <w:tc>
          <w:tcPr>
            <w:tcW w:w="709" w:type="dxa"/>
            <w:tcBorders>
              <w:top w:val="nil"/>
              <w:left w:val="nil"/>
              <w:bottom w:val="single" w:sz="4" w:space="0" w:color="auto"/>
              <w:right w:val="single" w:sz="4" w:space="0" w:color="auto"/>
            </w:tcBorders>
            <w:shd w:val="clear" w:color="auto" w:fill="auto"/>
          </w:tcPr>
          <w:p w:rsidR="00847CB6" w:rsidRPr="003B7D64" w:rsidRDefault="00847CB6" w:rsidP="00AA3C6D">
            <w:pPr>
              <w:ind w:firstLine="708"/>
              <w:jc w:val="center"/>
            </w:pPr>
            <w:proofErr w:type="spellStart"/>
            <w:r w:rsidRPr="003B7D64">
              <w:t>Е</w:t>
            </w:r>
            <w:r>
              <w:t>е</w:t>
            </w:r>
            <w:r w:rsidRPr="003B7D64">
              <w:t>д</w:t>
            </w:r>
            <w:proofErr w:type="spellEnd"/>
            <w:r w:rsidRPr="003B7D64">
              <w:t>.</w:t>
            </w:r>
          </w:p>
        </w:tc>
        <w:tc>
          <w:tcPr>
            <w:tcW w:w="804" w:type="dxa"/>
            <w:vMerge w:val="restart"/>
            <w:tcBorders>
              <w:top w:val="nil"/>
              <w:left w:val="single" w:sz="4" w:space="0" w:color="auto"/>
              <w:bottom w:val="single" w:sz="4" w:space="0" w:color="auto"/>
              <w:right w:val="single" w:sz="4" w:space="0" w:color="auto"/>
            </w:tcBorders>
            <w:shd w:val="clear" w:color="auto" w:fill="auto"/>
          </w:tcPr>
          <w:p w:rsidR="00847CB6" w:rsidRPr="003B7D64" w:rsidRDefault="00847CB6" w:rsidP="00AA3C6D">
            <w:pPr>
              <w:ind w:firstLine="708"/>
              <w:jc w:val="center"/>
            </w:pPr>
            <w:proofErr w:type="spellStart"/>
            <w:r w:rsidRPr="003B7D64">
              <w:t>Э</w:t>
            </w:r>
            <w:r>
              <w:t>Э</w:t>
            </w:r>
            <w:r w:rsidRPr="003B7D64">
              <w:t>кспертный</w:t>
            </w:r>
            <w:proofErr w:type="spellEnd"/>
            <w:r w:rsidRPr="003B7D64">
              <w:t xml:space="preserve"> метод</w:t>
            </w:r>
          </w:p>
        </w:tc>
        <w:tc>
          <w:tcPr>
            <w:tcW w:w="1240"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31</w:t>
            </w:r>
          </w:p>
        </w:tc>
        <w:tc>
          <w:tcPr>
            <w:tcW w:w="106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Не менее 31</w:t>
            </w:r>
          </w:p>
        </w:tc>
        <w:tc>
          <w:tcPr>
            <w:tcW w:w="106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Не менее 31</w:t>
            </w:r>
          </w:p>
        </w:tc>
        <w:tc>
          <w:tcPr>
            <w:tcW w:w="106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Не менее 31</w:t>
            </w:r>
          </w:p>
        </w:tc>
        <w:tc>
          <w:tcPr>
            <w:tcW w:w="101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Не менее 31</w:t>
            </w:r>
          </w:p>
        </w:tc>
        <w:tc>
          <w:tcPr>
            <w:tcW w:w="1267" w:type="dxa"/>
            <w:tcBorders>
              <w:top w:val="nil"/>
              <w:left w:val="nil"/>
              <w:bottom w:val="single" w:sz="4" w:space="0" w:color="auto"/>
              <w:right w:val="single" w:sz="4" w:space="0" w:color="auto"/>
            </w:tcBorders>
            <w:shd w:val="clear" w:color="auto" w:fill="auto"/>
          </w:tcPr>
          <w:p w:rsidR="00847CB6" w:rsidRDefault="00847CB6" w:rsidP="00AA3C6D">
            <w:pPr>
              <w:jc w:val="center"/>
            </w:pPr>
            <w:r w:rsidRPr="003B7D64">
              <w:t>форма</w:t>
            </w:r>
          </w:p>
          <w:p w:rsidR="00847CB6" w:rsidRPr="003B7D64" w:rsidRDefault="00847CB6" w:rsidP="00AA3C6D">
            <w:pPr>
              <w:jc w:val="center"/>
            </w:pPr>
            <w:r w:rsidRPr="003B7D64">
              <w:t>7-НК</w:t>
            </w:r>
          </w:p>
        </w:tc>
      </w:tr>
      <w:tr w:rsidR="00847CB6" w:rsidRPr="009F10A9" w:rsidTr="00AA3C6D">
        <w:trPr>
          <w:trHeight w:val="771"/>
        </w:trPr>
        <w:tc>
          <w:tcPr>
            <w:tcW w:w="1432" w:type="dxa"/>
            <w:tcBorders>
              <w:top w:val="nil"/>
              <w:left w:val="single" w:sz="4" w:space="0" w:color="auto"/>
              <w:bottom w:val="single" w:sz="4" w:space="0" w:color="auto"/>
              <w:right w:val="single" w:sz="4" w:space="0" w:color="auto"/>
            </w:tcBorders>
            <w:shd w:val="clear" w:color="auto" w:fill="auto"/>
          </w:tcPr>
          <w:p w:rsidR="00847CB6" w:rsidRPr="003B7D64" w:rsidRDefault="00847CB6" w:rsidP="00AA3C6D">
            <w:pPr>
              <w:jc w:val="center"/>
            </w:pPr>
            <w:r w:rsidRPr="003B7D64">
              <w:t>Число участников клубных формирований</w:t>
            </w:r>
          </w:p>
        </w:tc>
        <w:tc>
          <w:tcPr>
            <w:tcW w:w="709" w:type="dxa"/>
            <w:tcBorders>
              <w:top w:val="nil"/>
              <w:left w:val="nil"/>
              <w:bottom w:val="single" w:sz="4" w:space="0" w:color="auto"/>
              <w:right w:val="single" w:sz="4" w:space="0" w:color="auto"/>
            </w:tcBorders>
            <w:shd w:val="clear" w:color="auto" w:fill="auto"/>
          </w:tcPr>
          <w:p w:rsidR="00847CB6" w:rsidRPr="003B7D64" w:rsidRDefault="00847CB6" w:rsidP="00AA3C6D">
            <w:pPr>
              <w:ind w:firstLine="708"/>
              <w:jc w:val="center"/>
            </w:pPr>
            <w:proofErr w:type="spellStart"/>
            <w:r w:rsidRPr="003B7D64">
              <w:t>Ч</w:t>
            </w:r>
            <w:r>
              <w:t>ч</w:t>
            </w:r>
            <w:r w:rsidRPr="003B7D64">
              <w:t>ел</w:t>
            </w:r>
            <w:proofErr w:type="spellEnd"/>
            <w:r w:rsidRPr="003B7D64">
              <w:t>.</w:t>
            </w:r>
          </w:p>
        </w:tc>
        <w:tc>
          <w:tcPr>
            <w:tcW w:w="804" w:type="dxa"/>
            <w:vMerge/>
            <w:tcBorders>
              <w:top w:val="nil"/>
              <w:left w:val="single" w:sz="4" w:space="0" w:color="auto"/>
              <w:bottom w:val="single" w:sz="4" w:space="0" w:color="auto"/>
              <w:right w:val="single" w:sz="4" w:space="0" w:color="auto"/>
            </w:tcBorders>
            <w:vAlign w:val="center"/>
          </w:tcPr>
          <w:p w:rsidR="00847CB6" w:rsidRPr="003B7D64" w:rsidRDefault="00847CB6" w:rsidP="00AA3C6D">
            <w:pPr>
              <w:ind w:firstLine="708"/>
              <w:jc w:val="center"/>
            </w:pPr>
          </w:p>
        </w:tc>
        <w:tc>
          <w:tcPr>
            <w:tcW w:w="1240"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551</w:t>
            </w:r>
          </w:p>
        </w:tc>
        <w:tc>
          <w:tcPr>
            <w:tcW w:w="106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Не менее 560</w:t>
            </w:r>
          </w:p>
        </w:tc>
        <w:tc>
          <w:tcPr>
            <w:tcW w:w="106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Не менее 570</w:t>
            </w:r>
          </w:p>
        </w:tc>
        <w:tc>
          <w:tcPr>
            <w:tcW w:w="106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Не менее 580</w:t>
            </w:r>
          </w:p>
        </w:tc>
        <w:tc>
          <w:tcPr>
            <w:tcW w:w="101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Не менее 585</w:t>
            </w:r>
          </w:p>
        </w:tc>
        <w:tc>
          <w:tcPr>
            <w:tcW w:w="1267" w:type="dxa"/>
            <w:tcBorders>
              <w:top w:val="nil"/>
              <w:left w:val="nil"/>
              <w:bottom w:val="single" w:sz="4" w:space="0" w:color="auto"/>
              <w:right w:val="single" w:sz="4" w:space="0" w:color="auto"/>
            </w:tcBorders>
            <w:shd w:val="clear" w:color="auto" w:fill="auto"/>
          </w:tcPr>
          <w:p w:rsidR="00847CB6" w:rsidRDefault="00847CB6" w:rsidP="00AA3C6D">
            <w:pPr>
              <w:jc w:val="center"/>
            </w:pPr>
            <w:r w:rsidRPr="003B7D64">
              <w:t>форма</w:t>
            </w:r>
          </w:p>
          <w:p w:rsidR="00847CB6" w:rsidRPr="003B7D64" w:rsidRDefault="00847CB6" w:rsidP="00AA3C6D">
            <w:pPr>
              <w:jc w:val="center"/>
            </w:pPr>
            <w:r w:rsidRPr="003B7D64">
              <w:t>7-НК</w:t>
            </w:r>
          </w:p>
        </w:tc>
      </w:tr>
      <w:tr w:rsidR="00847CB6" w:rsidRPr="009F10A9" w:rsidTr="00AA3C6D">
        <w:trPr>
          <w:trHeight w:val="1285"/>
        </w:trPr>
        <w:tc>
          <w:tcPr>
            <w:tcW w:w="1432" w:type="dxa"/>
            <w:tcBorders>
              <w:top w:val="nil"/>
              <w:left w:val="single" w:sz="4" w:space="0" w:color="auto"/>
              <w:bottom w:val="single" w:sz="4" w:space="0" w:color="auto"/>
              <w:right w:val="single" w:sz="4" w:space="0" w:color="auto"/>
            </w:tcBorders>
            <w:shd w:val="clear" w:color="auto" w:fill="auto"/>
          </w:tcPr>
          <w:p w:rsidR="00847CB6" w:rsidRPr="003B7D64" w:rsidRDefault="00847CB6" w:rsidP="00AA3C6D">
            <w:pPr>
              <w:jc w:val="center"/>
            </w:pPr>
            <w:r w:rsidRPr="003B7D64">
              <w:t>Количество клубных формирований самодеятельного народного творчества и т.д.</w:t>
            </w:r>
          </w:p>
        </w:tc>
        <w:tc>
          <w:tcPr>
            <w:tcW w:w="709" w:type="dxa"/>
            <w:tcBorders>
              <w:top w:val="nil"/>
              <w:left w:val="nil"/>
              <w:bottom w:val="single" w:sz="4" w:space="0" w:color="auto"/>
              <w:right w:val="single" w:sz="4" w:space="0" w:color="auto"/>
            </w:tcBorders>
            <w:shd w:val="clear" w:color="auto" w:fill="auto"/>
          </w:tcPr>
          <w:p w:rsidR="00847CB6" w:rsidRPr="003B7D64" w:rsidRDefault="00847CB6" w:rsidP="00AA3C6D">
            <w:pPr>
              <w:ind w:firstLine="708"/>
              <w:jc w:val="center"/>
            </w:pPr>
            <w:proofErr w:type="spellStart"/>
            <w:r w:rsidRPr="003B7D64">
              <w:t>Е</w:t>
            </w:r>
            <w:r>
              <w:t>е</w:t>
            </w:r>
            <w:r w:rsidRPr="003B7D64">
              <w:t>д</w:t>
            </w:r>
            <w:proofErr w:type="spellEnd"/>
            <w:r w:rsidRPr="003B7D64">
              <w:t>.</w:t>
            </w:r>
          </w:p>
        </w:tc>
        <w:tc>
          <w:tcPr>
            <w:tcW w:w="804" w:type="dxa"/>
            <w:vMerge/>
            <w:tcBorders>
              <w:top w:val="nil"/>
              <w:left w:val="single" w:sz="4" w:space="0" w:color="auto"/>
              <w:bottom w:val="single" w:sz="4" w:space="0" w:color="auto"/>
              <w:right w:val="single" w:sz="4" w:space="0" w:color="auto"/>
            </w:tcBorders>
            <w:vAlign w:val="center"/>
          </w:tcPr>
          <w:p w:rsidR="00847CB6" w:rsidRPr="003B7D64" w:rsidRDefault="00847CB6" w:rsidP="00AA3C6D">
            <w:pPr>
              <w:ind w:firstLine="708"/>
              <w:jc w:val="center"/>
            </w:pPr>
          </w:p>
        </w:tc>
        <w:tc>
          <w:tcPr>
            <w:tcW w:w="1240"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23</w:t>
            </w:r>
          </w:p>
        </w:tc>
        <w:tc>
          <w:tcPr>
            <w:tcW w:w="106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Не менее 23</w:t>
            </w:r>
          </w:p>
        </w:tc>
        <w:tc>
          <w:tcPr>
            <w:tcW w:w="106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Не менее 23</w:t>
            </w:r>
          </w:p>
        </w:tc>
        <w:tc>
          <w:tcPr>
            <w:tcW w:w="106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Не менее 23</w:t>
            </w:r>
          </w:p>
        </w:tc>
        <w:tc>
          <w:tcPr>
            <w:tcW w:w="1013" w:type="dxa"/>
            <w:tcBorders>
              <w:top w:val="nil"/>
              <w:left w:val="nil"/>
              <w:bottom w:val="single" w:sz="4" w:space="0" w:color="auto"/>
              <w:right w:val="single" w:sz="4" w:space="0" w:color="auto"/>
            </w:tcBorders>
            <w:shd w:val="clear" w:color="auto" w:fill="auto"/>
          </w:tcPr>
          <w:p w:rsidR="00847CB6" w:rsidRPr="003B7D64" w:rsidRDefault="00847CB6" w:rsidP="00AA3C6D">
            <w:pPr>
              <w:jc w:val="center"/>
            </w:pPr>
            <w:r w:rsidRPr="003B7D64">
              <w:t>Не менее 23</w:t>
            </w:r>
          </w:p>
        </w:tc>
        <w:tc>
          <w:tcPr>
            <w:tcW w:w="1267" w:type="dxa"/>
            <w:tcBorders>
              <w:top w:val="nil"/>
              <w:left w:val="nil"/>
              <w:bottom w:val="single" w:sz="4" w:space="0" w:color="auto"/>
              <w:right w:val="single" w:sz="4" w:space="0" w:color="auto"/>
            </w:tcBorders>
            <w:shd w:val="clear" w:color="auto" w:fill="auto"/>
          </w:tcPr>
          <w:p w:rsidR="00847CB6" w:rsidRDefault="00847CB6" w:rsidP="00AA3C6D">
            <w:pPr>
              <w:jc w:val="center"/>
            </w:pPr>
            <w:r w:rsidRPr="003B7D64">
              <w:t>форма</w:t>
            </w:r>
          </w:p>
          <w:p w:rsidR="00847CB6" w:rsidRPr="003B7D64" w:rsidRDefault="00847CB6" w:rsidP="00AA3C6D">
            <w:pPr>
              <w:jc w:val="center"/>
            </w:pPr>
            <w:r w:rsidRPr="003B7D64">
              <w:t>7-НК</w:t>
            </w:r>
          </w:p>
        </w:tc>
      </w:tr>
    </w:tbl>
    <w:p w:rsidR="00847CB6" w:rsidRPr="003B7D64" w:rsidRDefault="00847CB6" w:rsidP="00847CB6">
      <w:pPr>
        <w:pStyle w:val="a4"/>
        <w:shd w:val="clear" w:color="auto" w:fill="FFFFFF"/>
        <w:spacing w:after="0"/>
        <w:ind w:firstLine="708"/>
        <w:jc w:val="both"/>
        <w:rPr>
          <w:rFonts w:ascii="Times New Roman" w:hAnsi="Times New Roman"/>
          <w:i/>
          <w:color w:val="000000" w:themeColor="text1"/>
          <w:sz w:val="24"/>
          <w:szCs w:val="24"/>
        </w:rPr>
      </w:pPr>
      <w:r w:rsidRPr="003B7D64">
        <w:rPr>
          <w:rFonts w:ascii="Times New Roman" w:hAnsi="Times New Roman"/>
          <w:i/>
          <w:color w:val="000000" w:themeColor="text1"/>
          <w:sz w:val="24"/>
          <w:szCs w:val="24"/>
        </w:rPr>
        <w:t xml:space="preserve">Источник – муниципальное задание учреждения культурно - </w:t>
      </w:r>
      <w:proofErr w:type="spellStart"/>
      <w:r w:rsidRPr="003B7D64">
        <w:rPr>
          <w:rFonts w:ascii="Times New Roman" w:hAnsi="Times New Roman"/>
          <w:i/>
          <w:color w:val="000000" w:themeColor="text1"/>
          <w:sz w:val="24"/>
          <w:szCs w:val="24"/>
        </w:rPr>
        <w:t>досугового</w:t>
      </w:r>
      <w:proofErr w:type="spellEnd"/>
      <w:r w:rsidRPr="003B7D64">
        <w:rPr>
          <w:rFonts w:ascii="Times New Roman" w:hAnsi="Times New Roman"/>
          <w:i/>
          <w:color w:val="000000" w:themeColor="text1"/>
          <w:sz w:val="24"/>
          <w:szCs w:val="24"/>
        </w:rPr>
        <w:t xml:space="preserve"> типа МУК СДК ст. Старокорсунской.</w:t>
      </w:r>
    </w:p>
    <w:p w:rsidR="00847CB6" w:rsidRPr="009F10A9" w:rsidRDefault="00847CB6" w:rsidP="00847CB6">
      <w:pPr>
        <w:pStyle w:val="a4"/>
        <w:shd w:val="clear" w:color="auto" w:fill="FFFFFF"/>
        <w:spacing w:after="0"/>
        <w:ind w:firstLine="708"/>
        <w:jc w:val="both"/>
        <w:rPr>
          <w:rFonts w:ascii="Times New Roman" w:hAnsi="Times New Roman"/>
          <w:color w:val="FF0000"/>
          <w:sz w:val="28"/>
          <w:szCs w:val="28"/>
        </w:rPr>
      </w:pPr>
      <w:r>
        <w:rPr>
          <w:rFonts w:ascii="Times New Roman" w:hAnsi="Times New Roman"/>
          <w:sz w:val="28"/>
          <w:szCs w:val="28"/>
        </w:rPr>
        <w:t>В целом</w:t>
      </w:r>
      <w:r w:rsidRPr="009F10A9">
        <w:rPr>
          <w:rFonts w:ascii="Times New Roman" w:hAnsi="Times New Roman"/>
          <w:sz w:val="28"/>
          <w:szCs w:val="28"/>
        </w:rPr>
        <w:t xml:space="preserve"> приходится констатировать, что граница платности-бесплатности муниципальной услуги – понятие скорее абстрактное </w:t>
      </w:r>
      <w:r w:rsidRPr="009F10A9">
        <w:rPr>
          <w:rFonts w:ascii="Times New Roman" w:hAnsi="Times New Roman"/>
          <w:color w:val="000000" w:themeColor="text1"/>
          <w:sz w:val="28"/>
          <w:szCs w:val="28"/>
        </w:rPr>
        <w:t>как для количественных, так и для качественных характеристик.</w:t>
      </w:r>
    </w:p>
    <w:p w:rsidR="00847CB6" w:rsidRPr="009F10A9" w:rsidRDefault="00847CB6" w:rsidP="00847CB6">
      <w:pPr>
        <w:pStyle w:val="a4"/>
        <w:shd w:val="clear" w:color="auto" w:fill="FFFFFF"/>
        <w:spacing w:after="0"/>
        <w:ind w:firstLine="708"/>
        <w:jc w:val="both"/>
        <w:rPr>
          <w:rFonts w:ascii="Times New Roman" w:hAnsi="Times New Roman"/>
          <w:sz w:val="28"/>
          <w:szCs w:val="28"/>
        </w:rPr>
      </w:pPr>
      <w:r w:rsidRPr="009F10A9">
        <w:rPr>
          <w:rFonts w:ascii="Times New Roman" w:hAnsi="Times New Roman"/>
          <w:sz w:val="28"/>
          <w:szCs w:val="28"/>
        </w:rPr>
        <w:t xml:space="preserve">В заключение вернёмся к вопросу качества оказания услуг. </w:t>
      </w:r>
      <w:r w:rsidRPr="009F10A9">
        <w:rPr>
          <w:rStyle w:val="apple-style-span"/>
          <w:rFonts w:ascii="Times New Roman" w:hAnsi="Times New Roman"/>
          <w:sz w:val="28"/>
          <w:szCs w:val="28"/>
          <w:shd w:val="clear" w:color="auto" w:fill="FFFFFF"/>
        </w:rPr>
        <w:t xml:space="preserve">Требование качества -  </w:t>
      </w:r>
      <w:r>
        <w:rPr>
          <w:rStyle w:val="apple-style-span"/>
          <w:rFonts w:ascii="Times New Roman" w:hAnsi="Times New Roman"/>
          <w:sz w:val="28"/>
          <w:szCs w:val="28"/>
          <w:shd w:val="clear" w:color="auto" w:fill="FFFFFF"/>
        </w:rPr>
        <w:t>всеобъемлющее.</w:t>
      </w:r>
      <w:r w:rsidRPr="009F10A9">
        <w:rPr>
          <w:rStyle w:val="apple-style-span"/>
          <w:rFonts w:ascii="Times New Roman" w:hAnsi="Times New Roman"/>
          <w:sz w:val="28"/>
          <w:szCs w:val="28"/>
          <w:shd w:val="clear" w:color="auto" w:fill="FFFFFF"/>
        </w:rPr>
        <w:t xml:space="preserve"> </w:t>
      </w:r>
      <w:r>
        <w:rPr>
          <w:rStyle w:val="apple-style-span"/>
          <w:rFonts w:ascii="Times New Roman" w:hAnsi="Times New Roman"/>
          <w:sz w:val="28"/>
          <w:szCs w:val="28"/>
          <w:shd w:val="clear" w:color="auto" w:fill="FFFFFF"/>
        </w:rPr>
        <w:t>О</w:t>
      </w:r>
      <w:r w:rsidRPr="009F10A9">
        <w:rPr>
          <w:rStyle w:val="apple-style-span"/>
          <w:rFonts w:ascii="Times New Roman" w:hAnsi="Times New Roman"/>
          <w:sz w:val="28"/>
          <w:szCs w:val="28"/>
          <w:shd w:val="clear" w:color="auto" w:fill="FFFFFF"/>
        </w:rPr>
        <w:t>но диктует необходимость разработки системы индикаторов (нормативов), которые  дают объективную   оценку качества оказанных услуг, а значит</w:t>
      </w:r>
      <w:r>
        <w:rPr>
          <w:rStyle w:val="apple-style-span"/>
          <w:rFonts w:ascii="Times New Roman" w:hAnsi="Times New Roman"/>
          <w:sz w:val="28"/>
          <w:szCs w:val="28"/>
          <w:shd w:val="clear" w:color="auto" w:fill="FFFFFF"/>
        </w:rPr>
        <w:t xml:space="preserve"> -</w:t>
      </w:r>
      <w:r w:rsidRPr="009F10A9">
        <w:rPr>
          <w:rStyle w:val="apple-style-span"/>
          <w:rFonts w:ascii="Times New Roman" w:hAnsi="Times New Roman"/>
          <w:sz w:val="28"/>
          <w:szCs w:val="28"/>
          <w:shd w:val="clear" w:color="auto" w:fill="FFFFFF"/>
        </w:rPr>
        <w:t xml:space="preserve"> и качественного (некачественного) выполнения муниципального задания. В большинстве </w:t>
      </w:r>
      <w:r w:rsidRPr="009F10A9">
        <w:rPr>
          <w:rFonts w:ascii="Times New Roman" w:hAnsi="Times New Roman"/>
          <w:sz w:val="28"/>
          <w:szCs w:val="28"/>
        </w:rPr>
        <w:t xml:space="preserve"> российских регионов эта проблема решается пока на уровне  вербальных требований к показателям качества. На практике, ориентируясь в отчётах на плановые количественные показатели, муниципальные учреждения стремятся выполнить муниципальное задание любыми  способами, не акцентируя  особого внимания на  качество оказания услуги. По нашему </w:t>
      </w:r>
      <w:r w:rsidRPr="009F10A9">
        <w:rPr>
          <w:rFonts w:ascii="Times New Roman" w:hAnsi="Times New Roman"/>
          <w:color w:val="000000" w:themeColor="text1"/>
          <w:sz w:val="28"/>
          <w:szCs w:val="28"/>
        </w:rPr>
        <w:t>мнению, перечень показателей, оценивающих критерии качества предоставляемых услуг,  должны быть глубоко продуманным, научно обоснованным</w:t>
      </w:r>
      <w:r w:rsidRPr="009F10A9">
        <w:rPr>
          <w:rFonts w:ascii="Times New Roman" w:hAnsi="Times New Roman"/>
          <w:sz w:val="28"/>
          <w:szCs w:val="28"/>
        </w:rPr>
        <w:t xml:space="preserve"> и стимулировать муниципальные  учреждения к эффективному  высококачественному оказанию  разнообразных услуг населению.</w:t>
      </w:r>
    </w:p>
    <w:p w:rsidR="00847CB6" w:rsidRPr="009F10A9" w:rsidRDefault="00847CB6" w:rsidP="00847CB6">
      <w:pPr>
        <w:pStyle w:val="a4"/>
        <w:shd w:val="clear" w:color="auto" w:fill="FFFFFF"/>
        <w:spacing w:after="0"/>
        <w:ind w:firstLine="708"/>
        <w:jc w:val="both"/>
        <w:rPr>
          <w:rFonts w:ascii="Times New Roman" w:hAnsi="Times New Roman"/>
          <w:sz w:val="28"/>
          <w:szCs w:val="28"/>
        </w:rPr>
      </w:pPr>
      <w:r w:rsidRPr="009F10A9">
        <w:rPr>
          <w:rFonts w:ascii="Times New Roman" w:hAnsi="Times New Roman"/>
          <w:sz w:val="28"/>
          <w:szCs w:val="28"/>
        </w:rPr>
        <w:t xml:space="preserve">Бюджетная реформа, предусматривающая отказ от сметного финансирования, поднимает ряд проблем в области  формирования и </w:t>
      </w:r>
      <w:proofErr w:type="gramStart"/>
      <w:r w:rsidRPr="009F10A9">
        <w:rPr>
          <w:rFonts w:ascii="Times New Roman" w:hAnsi="Times New Roman"/>
          <w:sz w:val="28"/>
          <w:szCs w:val="28"/>
        </w:rPr>
        <w:t>контроля за</w:t>
      </w:r>
      <w:proofErr w:type="gramEnd"/>
      <w:r w:rsidRPr="009F10A9">
        <w:rPr>
          <w:rFonts w:ascii="Times New Roman" w:hAnsi="Times New Roman"/>
          <w:sz w:val="28"/>
          <w:szCs w:val="28"/>
        </w:rPr>
        <w:t xml:space="preserve"> исполнением муниципального задания,  повышения качества оказания муниципальных услуг.  Кроме обозначенных  в   статье возможных </w:t>
      </w:r>
      <w:r w:rsidRPr="009F10A9">
        <w:rPr>
          <w:rFonts w:ascii="Times New Roman" w:hAnsi="Times New Roman"/>
          <w:sz w:val="28"/>
          <w:szCs w:val="28"/>
        </w:rPr>
        <w:lastRenderedPageBreak/>
        <w:t xml:space="preserve">механизмов решения  некоторых финансовых проблем в части формирования и исполнения муниципального задания, российской науке и практическим исследователям целесообразно сегодня обратиться к зарубежному опыту </w:t>
      </w:r>
      <w:proofErr w:type="spellStart"/>
      <w:r w:rsidRPr="009F10A9">
        <w:rPr>
          <w:rFonts w:ascii="Times New Roman" w:hAnsi="Times New Roman"/>
          <w:sz w:val="28"/>
          <w:szCs w:val="28"/>
        </w:rPr>
        <w:t>бюджетирования</w:t>
      </w:r>
      <w:proofErr w:type="spellEnd"/>
      <w:r w:rsidRPr="009F10A9">
        <w:rPr>
          <w:rFonts w:ascii="Times New Roman" w:hAnsi="Times New Roman"/>
          <w:sz w:val="28"/>
          <w:szCs w:val="28"/>
        </w:rPr>
        <w:t xml:space="preserve">, ориентированного на результат, </w:t>
      </w:r>
      <w:r>
        <w:rPr>
          <w:rFonts w:ascii="Times New Roman" w:hAnsi="Times New Roman"/>
          <w:sz w:val="28"/>
          <w:szCs w:val="28"/>
        </w:rPr>
        <w:t>чтобы</w:t>
      </w:r>
      <w:r w:rsidRPr="009F10A9">
        <w:rPr>
          <w:rFonts w:ascii="Times New Roman" w:hAnsi="Times New Roman"/>
          <w:sz w:val="28"/>
          <w:szCs w:val="28"/>
        </w:rPr>
        <w:t xml:space="preserve"> определить  возможности его применения в России в  </w:t>
      </w:r>
      <w:r>
        <w:rPr>
          <w:rFonts w:ascii="Times New Roman" w:hAnsi="Times New Roman"/>
          <w:sz w:val="28"/>
          <w:szCs w:val="28"/>
        </w:rPr>
        <w:t xml:space="preserve">ходе </w:t>
      </w:r>
      <w:r w:rsidRPr="009F10A9">
        <w:rPr>
          <w:rFonts w:ascii="Times New Roman" w:hAnsi="Times New Roman"/>
          <w:sz w:val="28"/>
          <w:szCs w:val="28"/>
        </w:rPr>
        <w:t xml:space="preserve">современной бюджетной реформы. </w:t>
      </w:r>
    </w:p>
    <w:p w:rsidR="00847CB6" w:rsidRPr="009F10A9" w:rsidRDefault="00847CB6" w:rsidP="00847CB6">
      <w:pPr>
        <w:pStyle w:val="a4"/>
        <w:shd w:val="clear" w:color="auto" w:fill="FFFFFF"/>
        <w:spacing w:after="0"/>
        <w:ind w:firstLine="851"/>
        <w:jc w:val="both"/>
        <w:rPr>
          <w:rFonts w:ascii="Times New Roman" w:hAnsi="Times New Roman"/>
          <w:sz w:val="28"/>
          <w:szCs w:val="28"/>
        </w:rPr>
      </w:pPr>
    </w:p>
    <w:p w:rsidR="00847CB6" w:rsidRPr="006341DE" w:rsidRDefault="00847CB6" w:rsidP="00847CB6">
      <w:pPr>
        <w:jc w:val="both"/>
        <w:rPr>
          <w:color w:val="000000"/>
          <w:sz w:val="28"/>
          <w:szCs w:val="28"/>
        </w:rPr>
      </w:pPr>
    </w:p>
    <w:p w:rsidR="00847CB6" w:rsidRDefault="00847CB6" w:rsidP="00847CB6"/>
    <w:p w:rsidR="00847CB6" w:rsidRDefault="00847CB6" w:rsidP="00847CB6"/>
    <w:p w:rsidR="00042CCC" w:rsidRDefault="00847CB6"/>
    <w:sectPr w:rsidR="00042CCC" w:rsidSect="003B7D64">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47CB6"/>
    <w:rsid w:val="003873FE"/>
    <w:rsid w:val="00847CB6"/>
    <w:rsid w:val="008D0CCE"/>
    <w:rsid w:val="00A201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C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47CB6"/>
    <w:pPr>
      <w:spacing w:after="120" w:line="480" w:lineRule="auto"/>
      <w:ind w:left="283"/>
    </w:pPr>
  </w:style>
  <w:style w:type="character" w:customStyle="1" w:styleId="20">
    <w:name w:val="Основной текст с отступом 2 Знак"/>
    <w:basedOn w:val="a0"/>
    <w:link w:val="2"/>
    <w:rsid w:val="00847CB6"/>
    <w:rPr>
      <w:rFonts w:ascii="Times New Roman" w:eastAsia="Times New Roman" w:hAnsi="Times New Roman" w:cs="Times New Roman"/>
      <w:sz w:val="24"/>
      <w:szCs w:val="24"/>
      <w:lang w:eastAsia="ru-RU"/>
    </w:rPr>
  </w:style>
  <w:style w:type="character" w:styleId="a3">
    <w:name w:val="Hyperlink"/>
    <w:uiPriority w:val="99"/>
    <w:unhideWhenUsed/>
    <w:rsid w:val="00847CB6"/>
    <w:rPr>
      <w:color w:val="970204"/>
      <w:u w:val="single"/>
    </w:rPr>
  </w:style>
  <w:style w:type="paragraph" w:styleId="a4">
    <w:name w:val="Normal (Web)"/>
    <w:basedOn w:val="a"/>
    <w:unhideWhenUsed/>
    <w:rsid w:val="00847CB6"/>
    <w:pPr>
      <w:spacing w:after="51"/>
    </w:pPr>
    <w:rPr>
      <w:rFonts w:ascii="Verdana" w:hAnsi="Verdana"/>
      <w:color w:val="000000"/>
      <w:sz w:val="12"/>
      <w:szCs w:val="12"/>
    </w:rPr>
  </w:style>
  <w:style w:type="character" w:customStyle="1" w:styleId="apple-style-span">
    <w:name w:val="apple-style-span"/>
    <w:basedOn w:val="a0"/>
    <w:rsid w:val="00847C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9261</Characters>
  <Application>Microsoft Office Word</Application>
  <DocSecurity>0</DocSecurity>
  <Lines>77</Lines>
  <Paragraphs>21</Paragraphs>
  <ScaleCrop>false</ScaleCrop>
  <Company/>
  <LinksUpToDate>false</LinksUpToDate>
  <CharactersWithSpaces>10864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e.burenok</dc:creator>
  <cp:lastModifiedBy>e.burenok</cp:lastModifiedBy>
  <cp:revision>1</cp:revision>
  <dcterms:created xsi:type="dcterms:W3CDTF">2012-03-28T12:28:00Z</dcterms:created>
  <dcterms:modified xsi:type="dcterms:W3CDTF">2012-03-28T12:29:00Z</dcterms:modified>
</cp:coreProperties>
</file>